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D57E4" w14:textId="77777777" w:rsidR="0062542D" w:rsidRPr="0062542D" w:rsidRDefault="00C01362" w:rsidP="0062542D">
      <w:pPr>
        <w:pStyle w:val="SMCTemplate"/>
        <w:spacing w:before="0" w:after="0"/>
        <w:jc w:val="right"/>
        <w:rPr>
          <w:sz w:val="44"/>
          <w:szCs w:val="44"/>
        </w:rPr>
      </w:pPr>
      <w:r w:rsidRPr="0062542D">
        <w:rPr>
          <w:sz w:val="44"/>
          <w:szCs w:val="44"/>
        </w:rPr>
        <w:t>Presseinformation</w:t>
      </w:r>
    </w:p>
    <w:p w14:paraId="7651B8B1" w14:textId="6248E340" w:rsidR="0062542D" w:rsidRPr="0062542D" w:rsidRDefault="005E052A" w:rsidP="0062542D">
      <w:pPr>
        <w:spacing w:before="120"/>
        <w:jc w:val="right"/>
      </w:pPr>
      <w:r>
        <w:t xml:space="preserve">Egelsbach, </w:t>
      </w:r>
      <w:r w:rsidR="00042A06">
        <w:t xml:space="preserve">Juni </w:t>
      </w:r>
      <w:r w:rsidR="004E0FED">
        <w:t>20</w:t>
      </w:r>
      <w:r w:rsidR="002537F4">
        <w:t>2</w:t>
      </w:r>
      <w:r w:rsidR="009F5689">
        <w:t>3</w:t>
      </w:r>
    </w:p>
    <w:p w14:paraId="6FE2960A" w14:textId="77777777" w:rsidR="004D25B1" w:rsidRPr="004D25B1" w:rsidRDefault="004D25B1" w:rsidP="004D25B1">
      <w:pPr>
        <w:pStyle w:val="SMCUntertitel"/>
        <w:spacing w:after="0"/>
        <w:rPr>
          <w:b/>
          <w:sz w:val="30"/>
          <w:szCs w:val="30"/>
        </w:rPr>
      </w:pPr>
    </w:p>
    <w:p w14:paraId="563F509E" w14:textId="2649B545" w:rsidR="007D183E" w:rsidRPr="00FE0A94" w:rsidRDefault="003A669E" w:rsidP="0062542D">
      <w:pPr>
        <w:pStyle w:val="SMCUntertitel"/>
        <w:spacing w:before="120" w:after="0"/>
        <w:rPr>
          <w:b/>
          <w:bCs/>
          <w:sz w:val="30"/>
          <w:szCs w:val="30"/>
        </w:rPr>
      </w:pPr>
      <w:r>
        <w:rPr>
          <w:b/>
          <w:bCs/>
          <w:sz w:val="30"/>
          <w:szCs w:val="30"/>
        </w:rPr>
        <w:t xml:space="preserve">Robust und </w:t>
      </w:r>
      <w:r w:rsidR="0057731D">
        <w:rPr>
          <w:b/>
          <w:bCs/>
          <w:sz w:val="30"/>
          <w:szCs w:val="30"/>
        </w:rPr>
        <w:t>sicher</w:t>
      </w:r>
      <w:r>
        <w:rPr>
          <w:b/>
          <w:bCs/>
          <w:sz w:val="30"/>
          <w:szCs w:val="30"/>
        </w:rPr>
        <w:t>:</w:t>
      </w:r>
      <w:r w:rsidR="007110F7">
        <w:rPr>
          <w:b/>
          <w:bCs/>
          <w:sz w:val="30"/>
          <w:szCs w:val="30"/>
        </w:rPr>
        <w:t xml:space="preserve"> </w:t>
      </w:r>
      <w:proofErr w:type="spellStart"/>
      <w:r w:rsidR="00FE0A94" w:rsidRPr="00FE0A94">
        <w:rPr>
          <w:b/>
          <w:bCs/>
          <w:sz w:val="30"/>
          <w:szCs w:val="30"/>
        </w:rPr>
        <w:t>Metall-Drosselrückschlagventil</w:t>
      </w:r>
      <w:proofErr w:type="spellEnd"/>
      <w:r w:rsidR="00E56429">
        <w:rPr>
          <w:b/>
          <w:bCs/>
          <w:sz w:val="30"/>
          <w:szCs w:val="30"/>
        </w:rPr>
        <w:t xml:space="preserve"> der </w:t>
      </w:r>
      <w:r w:rsidR="00FE0A94">
        <w:rPr>
          <w:b/>
          <w:bCs/>
          <w:sz w:val="30"/>
          <w:szCs w:val="30"/>
        </w:rPr>
        <w:t>Serie ASB-D</w:t>
      </w:r>
      <w:r w:rsidR="00B43AE8">
        <w:rPr>
          <w:b/>
          <w:bCs/>
          <w:sz w:val="30"/>
          <w:szCs w:val="30"/>
        </w:rPr>
        <w:t xml:space="preserve"> von SMC</w:t>
      </w:r>
      <w:r w:rsidR="00FE0A94" w:rsidRPr="00FE0A94">
        <w:rPr>
          <w:b/>
          <w:bCs/>
          <w:sz w:val="30"/>
          <w:szCs w:val="30"/>
        </w:rPr>
        <w:t xml:space="preserve"> </w:t>
      </w:r>
      <w:r w:rsidR="0057731D">
        <w:rPr>
          <w:b/>
          <w:bCs/>
          <w:sz w:val="30"/>
          <w:szCs w:val="30"/>
        </w:rPr>
        <w:t>schützt</w:t>
      </w:r>
      <w:r w:rsidR="00B43AE8">
        <w:rPr>
          <w:b/>
          <w:bCs/>
          <w:sz w:val="30"/>
          <w:szCs w:val="30"/>
        </w:rPr>
        <w:t xml:space="preserve"> Einstellung dank Konter</w:t>
      </w:r>
      <w:r w:rsidR="00FE0A94">
        <w:rPr>
          <w:b/>
          <w:bCs/>
          <w:sz w:val="30"/>
          <w:szCs w:val="30"/>
        </w:rPr>
        <w:t>mutter</w:t>
      </w:r>
    </w:p>
    <w:p w14:paraId="3F052F66" w14:textId="77777777" w:rsidR="00370C41" w:rsidRDefault="00370C41" w:rsidP="0062542D">
      <w:pPr>
        <w:pStyle w:val="SMCUntertitel"/>
        <w:spacing w:before="120" w:after="0"/>
        <w:rPr>
          <w:b/>
          <w:sz w:val="30"/>
          <w:szCs w:val="30"/>
        </w:rPr>
      </w:pPr>
    </w:p>
    <w:p w14:paraId="7A852306" w14:textId="34317811" w:rsidR="00D93C49" w:rsidRPr="00D93C49" w:rsidRDefault="00D93C49" w:rsidP="00D93C49">
      <w:pPr>
        <w:spacing w:line="360" w:lineRule="atLeast"/>
        <w:rPr>
          <w:rFonts w:asciiTheme="majorHAnsi" w:eastAsiaTheme="majorEastAsia" w:hAnsiTheme="majorHAnsi" w:cstheme="majorBidi"/>
          <w:b/>
          <w:szCs w:val="32"/>
        </w:rPr>
      </w:pPr>
      <w:r w:rsidRPr="00D93C49">
        <w:rPr>
          <w:rFonts w:asciiTheme="majorHAnsi" w:eastAsiaTheme="majorEastAsia" w:hAnsiTheme="majorHAnsi" w:cstheme="majorBidi"/>
          <w:b/>
          <w:szCs w:val="32"/>
        </w:rPr>
        <w:t xml:space="preserve">Ob in den Bereichen Automotive, Food &amp; Verpackung, bei Werkzeugmaschinen oder in der allgemeinen Automatisierung: Branchenweit kommen </w:t>
      </w:r>
      <w:r w:rsidR="003F6B28">
        <w:rPr>
          <w:rFonts w:asciiTheme="majorHAnsi" w:eastAsiaTheme="majorEastAsia" w:hAnsiTheme="majorHAnsi" w:cstheme="majorBidi"/>
          <w:b/>
          <w:szCs w:val="32"/>
        </w:rPr>
        <w:t xml:space="preserve">Drosselrückschlagventile </w:t>
      </w:r>
      <w:r w:rsidR="00B43AE8">
        <w:rPr>
          <w:rFonts w:asciiTheme="majorHAnsi" w:eastAsiaTheme="majorEastAsia" w:hAnsiTheme="majorHAnsi" w:cstheme="majorBidi"/>
          <w:b/>
          <w:szCs w:val="32"/>
        </w:rPr>
        <w:t xml:space="preserve">zum Einsatz, </w:t>
      </w:r>
      <w:r w:rsidR="0057731D">
        <w:rPr>
          <w:rFonts w:asciiTheme="majorHAnsi" w:eastAsiaTheme="majorEastAsia" w:hAnsiTheme="majorHAnsi" w:cstheme="majorBidi"/>
          <w:b/>
          <w:szCs w:val="32"/>
        </w:rPr>
        <w:t>die</w:t>
      </w:r>
      <w:r w:rsidR="00B43AE8">
        <w:rPr>
          <w:rFonts w:asciiTheme="majorHAnsi" w:eastAsiaTheme="majorEastAsia" w:hAnsiTheme="majorHAnsi" w:cstheme="majorBidi"/>
          <w:b/>
          <w:szCs w:val="32"/>
        </w:rPr>
        <w:t xml:space="preserve"> </w:t>
      </w:r>
      <w:r w:rsidR="003F6B28">
        <w:rPr>
          <w:rFonts w:asciiTheme="majorHAnsi" w:eastAsiaTheme="majorEastAsia" w:hAnsiTheme="majorHAnsi" w:cstheme="majorBidi"/>
          <w:b/>
          <w:szCs w:val="32"/>
        </w:rPr>
        <w:t>Schweißspritzern</w:t>
      </w:r>
      <w:r w:rsidR="00F22382">
        <w:rPr>
          <w:rFonts w:asciiTheme="majorHAnsi" w:eastAsiaTheme="majorEastAsia" w:hAnsiTheme="majorHAnsi" w:cstheme="majorBidi"/>
          <w:b/>
          <w:szCs w:val="32"/>
        </w:rPr>
        <w:t xml:space="preserve"> </w:t>
      </w:r>
      <w:r w:rsidR="0057731D">
        <w:rPr>
          <w:rFonts w:asciiTheme="majorHAnsi" w:eastAsiaTheme="majorEastAsia" w:hAnsiTheme="majorHAnsi" w:cstheme="majorBidi"/>
          <w:b/>
          <w:szCs w:val="32"/>
        </w:rPr>
        <w:t xml:space="preserve">ausgesetzt sind </w:t>
      </w:r>
      <w:r w:rsidR="00F22382">
        <w:rPr>
          <w:rFonts w:asciiTheme="majorHAnsi" w:eastAsiaTheme="majorEastAsia" w:hAnsiTheme="majorHAnsi" w:cstheme="majorBidi"/>
          <w:b/>
          <w:szCs w:val="32"/>
        </w:rPr>
        <w:t xml:space="preserve">oder </w:t>
      </w:r>
      <w:r w:rsidR="0057731D">
        <w:rPr>
          <w:rFonts w:asciiTheme="majorHAnsi" w:eastAsiaTheme="majorEastAsia" w:hAnsiTheme="majorHAnsi" w:cstheme="majorBidi"/>
          <w:b/>
          <w:szCs w:val="32"/>
        </w:rPr>
        <w:t xml:space="preserve">bei denen </w:t>
      </w:r>
      <w:r w:rsidR="00F22382">
        <w:rPr>
          <w:rFonts w:asciiTheme="majorHAnsi" w:eastAsiaTheme="majorEastAsia" w:hAnsiTheme="majorHAnsi" w:cstheme="majorBidi"/>
          <w:b/>
          <w:szCs w:val="32"/>
        </w:rPr>
        <w:t>die Umgebung von Staub oder ultravioletter Strahlung geprägt ist.</w:t>
      </w:r>
      <w:r w:rsidR="003F6B28">
        <w:rPr>
          <w:rFonts w:asciiTheme="majorHAnsi" w:eastAsiaTheme="majorEastAsia" w:hAnsiTheme="majorHAnsi" w:cstheme="majorBidi"/>
          <w:b/>
          <w:szCs w:val="32"/>
        </w:rPr>
        <w:t xml:space="preserve"> </w:t>
      </w:r>
      <w:r w:rsidR="00F22382">
        <w:rPr>
          <w:rFonts w:asciiTheme="majorHAnsi" w:eastAsiaTheme="majorEastAsia" w:hAnsiTheme="majorHAnsi" w:cstheme="majorBidi"/>
          <w:b/>
          <w:szCs w:val="32"/>
        </w:rPr>
        <w:t>Zudem können</w:t>
      </w:r>
      <w:r w:rsidRPr="00D93C49">
        <w:rPr>
          <w:rFonts w:asciiTheme="majorHAnsi" w:eastAsiaTheme="majorEastAsia" w:hAnsiTheme="majorHAnsi" w:cstheme="majorBidi"/>
          <w:b/>
          <w:szCs w:val="32"/>
        </w:rPr>
        <w:t xml:space="preserve"> </w:t>
      </w:r>
      <w:r w:rsidR="00CC6C13">
        <w:rPr>
          <w:rFonts w:asciiTheme="majorHAnsi" w:eastAsiaTheme="majorEastAsia" w:hAnsiTheme="majorHAnsi" w:cstheme="majorBidi"/>
          <w:b/>
          <w:szCs w:val="32"/>
        </w:rPr>
        <w:t>mechanische Einflüsse</w:t>
      </w:r>
      <w:r w:rsidR="003F6B28">
        <w:rPr>
          <w:rFonts w:asciiTheme="majorHAnsi" w:eastAsiaTheme="majorEastAsia" w:hAnsiTheme="majorHAnsi" w:cstheme="majorBidi"/>
          <w:b/>
          <w:szCs w:val="32"/>
        </w:rPr>
        <w:t xml:space="preserve"> und </w:t>
      </w:r>
      <w:r w:rsidR="00CC6C13">
        <w:rPr>
          <w:rFonts w:asciiTheme="majorHAnsi" w:eastAsiaTheme="majorEastAsia" w:hAnsiTheme="majorHAnsi" w:cstheme="majorBidi"/>
          <w:b/>
          <w:szCs w:val="32"/>
        </w:rPr>
        <w:t>Vibrationen</w:t>
      </w:r>
      <w:r w:rsidR="005C746C">
        <w:rPr>
          <w:rFonts w:asciiTheme="majorHAnsi" w:eastAsiaTheme="majorEastAsia" w:hAnsiTheme="majorHAnsi" w:cstheme="majorBidi"/>
          <w:b/>
          <w:szCs w:val="32"/>
        </w:rPr>
        <w:t xml:space="preserve"> </w:t>
      </w:r>
      <w:r w:rsidR="00D55EEB">
        <w:rPr>
          <w:rFonts w:asciiTheme="majorHAnsi" w:eastAsiaTheme="majorEastAsia" w:hAnsiTheme="majorHAnsi" w:cstheme="majorBidi"/>
          <w:b/>
          <w:szCs w:val="32"/>
        </w:rPr>
        <w:t>zur</w:t>
      </w:r>
      <w:r w:rsidR="005C746C">
        <w:rPr>
          <w:rFonts w:asciiTheme="majorHAnsi" w:eastAsiaTheme="majorEastAsia" w:hAnsiTheme="majorHAnsi" w:cstheme="majorBidi"/>
          <w:b/>
          <w:szCs w:val="32"/>
        </w:rPr>
        <w:t xml:space="preserve"> Verstellung der Nadelposition </w:t>
      </w:r>
      <w:r w:rsidR="00D55EEB">
        <w:rPr>
          <w:rFonts w:asciiTheme="majorHAnsi" w:eastAsiaTheme="majorEastAsia" w:hAnsiTheme="majorHAnsi" w:cstheme="majorBidi"/>
          <w:b/>
          <w:szCs w:val="32"/>
        </w:rPr>
        <w:t>führen</w:t>
      </w:r>
      <w:r w:rsidR="005C746C">
        <w:rPr>
          <w:rFonts w:asciiTheme="majorHAnsi" w:eastAsiaTheme="majorEastAsia" w:hAnsiTheme="majorHAnsi" w:cstheme="majorBidi"/>
          <w:b/>
          <w:szCs w:val="32"/>
        </w:rPr>
        <w:t xml:space="preserve">. </w:t>
      </w:r>
      <w:r w:rsidRPr="00D93C49">
        <w:rPr>
          <w:rFonts w:asciiTheme="majorHAnsi" w:eastAsiaTheme="majorEastAsia" w:hAnsiTheme="majorHAnsi" w:cstheme="majorBidi"/>
          <w:b/>
          <w:szCs w:val="32"/>
        </w:rPr>
        <w:t xml:space="preserve">Um </w:t>
      </w:r>
      <w:r w:rsidR="00F22382">
        <w:rPr>
          <w:rFonts w:asciiTheme="majorHAnsi" w:eastAsiaTheme="majorEastAsia" w:hAnsiTheme="majorHAnsi" w:cstheme="majorBidi"/>
          <w:b/>
          <w:szCs w:val="32"/>
        </w:rPr>
        <w:t>die Sicherheit an einer Maschinenanlage zu erhöhen</w:t>
      </w:r>
      <w:r w:rsidRPr="00D93C49">
        <w:rPr>
          <w:rFonts w:asciiTheme="majorHAnsi" w:eastAsiaTheme="majorEastAsia" w:hAnsiTheme="majorHAnsi" w:cstheme="majorBidi"/>
          <w:b/>
          <w:szCs w:val="32"/>
        </w:rPr>
        <w:t xml:space="preserve">, hat SMC </w:t>
      </w:r>
      <w:r w:rsidR="00611C21">
        <w:rPr>
          <w:rFonts w:asciiTheme="majorHAnsi" w:eastAsiaTheme="majorEastAsia" w:hAnsiTheme="majorHAnsi" w:cstheme="majorBidi"/>
          <w:b/>
          <w:szCs w:val="32"/>
        </w:rPr>
        <w:t xml:space="preserve">das </w:t>
      </w:r>
      <w:r w:rsidR="005C746C">
        <w:rPr>
          <w:rFonts w:asciiTheme="majorHAnsi" w:eastAsiaTheme="majorEastAsia" w:hAnsiTheme="majorHAnsi" w:cstheme="majorBidi"/>
          <w:b/>
          <w:szCs w:val="32"/>
        </w:rPr>
        <w:t xml:space="preserve">neue Metall-Drosselrückschlagventil </w:t>
      </w:r>
      <w:r w:rsidR="00F22382" w:rsidRPr="00D93C49">
        <w:rPr>
          <w:rFonts w:asciiTheme="majorHAnsi" w:eastAsiaTheme="majorEastAsia" w:hAnsiTheme="majorHAnsi" w:cstheme="majorBidi"/>
          <w:b/>
          <w:szCs w:val="32"/>
        </w:rPr>
        <w:t xml:space="preserve">der Serie </w:t>
      </w:r>
      <w:r w:rsidR="00F22382">
        <w:rPr>
          <w:rFonts w:asciiTheme="majorHAnsi" w:eastAsiaTheme="majorEastAsia" w:hAnsiTheme="majorHAnsi" w:cstheme="majorBidi"/>
          <w:b/>
          <w:szCs w:val="32"/>
        </w:rPr>
        <w:t>ASB-D</w:t>
      </w:r>
      <w:r w:rsidR="00F22382" w:rsidRPr="00D93C49">
        <w:rPr>
          <w:rFonts w:asciiTheme="majorHAnsi" w:eastAsiaTheme="majorEastAsia" w:hAnsiTheme="majorHAnsi" w:cstheme="majorBidi"/>
          <w:b/>
          <w:szCs w:val="32"/>
        </w:rPr>
        <w:t xml:space="preserve"> </w:t>
      </w:r>
      <w:r w:rsidR="00D1075C">
        <w:rPr>
          <w:rFonts w:asciiTheme="majorHAnsi" w:eastAsiaTheme="majorEastAsia" w:hAnsiTheme="majorHAnsi" w:cstheme="majorBidi"/>
          <w:b/>
          <w:szCs w:val="32"/>
        </w:rPr>
        <w:t xml:space="preserve">in Winkelausführung </w:t>
      </w:r>
      <w:r w:rsidR="005C746C">
        <w:rPr>
          <w:rFonts w:asciiTheme="majorHAnsi" w:eastAsiaTheme="majorEastAsia" w:hAnsiTheme="majorHAnsi" w:cstheme="majorBidi"/>
          <w:b/>
          <w:szCs w:val="32"/>
        </w:rPr>
        <w:t xml:space="preserve">mit </w:t>
      </w:r>
      <w:r w:rsidR="00F22382">
        <w:rPr>
          <w:rFonts w:asciiTheme="majorHAnsi" w:eastAsiaTheme="majorEastAsia" w:hAnsiTheme="majorHAnsi" w:cstheme="majorBidi"/>
          <w:b/>
          <w:szCs w:val="32"/>
        </w:rPr>
        <w:t>Sicherungs- bzw. Kontermutter</w:t>
      </w:r>
      <w:r w:rsidR="005C746C">
        <w:rPr>
          <w:rFonts w:asciiTheme="majorHAnsi" w:eastAsiaTheme="majorEastAsia" w:hAnsiTheme="majorHAnsi" w:cstheme="majorBidi"/>
          <w:b/>
          <w:szCs w:val="32"/>
        </w:rPr>
        <w:t xml:space="preserve"> </w:t>
      </w:r>
      <w:r w:rsidRPr="00D93C49">
        <w:rPr>
          <w:rFonts w:asciiTheme="majorHAnsi" w:eastAsiaTheme="majorEastAsia" w:hAnsiTheme="majorHAnsi" w:cstheme="majorBidi"/>
          <w:b/>
          <w:szCs w:val="32"/>
        </w:rPr>
        <w:t xml:space="preserve">entwickelt, das </w:t>
      </w:r>
      <w:r w:rsidR="005C746C">
        <w:rPr>
          <w:rFonts w:asciiTheme="majorHAnsi" w:eastAsiaTheme="majorEastAsia" w:hAnsiTheme="majorHAnsi" w:cstheme="majorBidi"/>
          <w:b/>
          <w:szCs w:val="32"/>
        </w:rPr>
        <w:t xml:space="preserve">dank </w:t>
      </w:r>
      <w:r w:rsidR="00611C21">
        <w:rPr>
          <w:rFonts w:asciiTheme="majorHAnsi" w:eastAsiaTheme="majorEastAsia" w:hAnsiTheme="majorHAnsi" w:cstheme="majorBidi"/>
          <w:b/>
          <w:szCs w:val="32"/>
        </w:rPr>
        <w:t>Vollmetallgehäuse</w:t>
      </w:r>
      <w:r w:rsidR="005C746C">
        <w:rPr>
          <w:rFonts w:asciiTheme="majorHAnsi" w:eastAsiaTheme="majorEastAsia" w:hAnsiTheme="majorHAnsi" w:cstheme="majorBidi"/>
          <w:b/>
          <w:szCs w:val="32"/>
        </w:rPr>
        <w:t xml:space="preserve"> </w:t>
      </w:r>
      <w:r w:rsidR="00E7035E">
        <w:rPr>
          <w:rFonts w:asciiTheme="majorHAnsi" w:eastAsiaTheme="majorEastAsia" w:hAnsiTheme="majorHAnsi" w:cstheme="majorBidi"/>
          <w:b/>
          <w:szCs w:val="32"/>
        </w:rPr>
        <w:t xml:space="preserve">auch </w:t>
      </w:r>
      <w:r w:rsidR="005C746C">
        <w:rPr>
          <w:rFonts w:asciiTheme="majorHAnsi" w:eastAsiaTheme="majorEastAsia" w:hAnsiTheme="majorHAnsi" w:cstheme="majorBidi"/>
          <w:b/>
          <w:szCs w:val="32"/>
        </w:rPr>
        <w:t>in rauen und Außenbedingungen verwendet werden kann</w:t>
      </w:r>
      <w:r w:rsidR="00CC6C13">
        <w:rPr>
          <w:rFonts w:asciiTheme="majorHAnsi" w:eastAsiaTheme="majorEastAsia" w:hAnsiTheme="majorHAnsi" w:cstheme="majorBidi"/>
          <w:b/>
          <w:szCs w:val="32"/>
        </w:rPr>
        <w:t xml:space="preserve">. </w:t>
      </w:r>
      <w:r w:rsidR="00F22382">
        <w:rPr>
          <w:rFonts w:asciiTheme="majorHAnsi" w:eastAsiaTheme="majorEastAsia" w:hAnsiTheme="majorHAnsi" w:cstheme="majorBidi"/>
          <w:b/>
          <w:szCs w:val="32"/>
        </w:rPr>
        <w:t xml:space="preserve">Die durch </w:t>
      </w:r>
      <w:r w:rsidR="00611C21">
        <w:rPr>
          <w:rFonts w:asciiTheme="majorHAnsi" w:eastAsiaTheme="majorEastAsia" w:hAnsiTheme="majorHAnsi" w:cstheme="majorBidi"/>
          <w:b/>
          <w:szCs w:val="32"/>
        </w:rPr>
        <w:t xml:space="preserve">die Sicherungsmutter </w:t>
      </w:r>
      <w:r w:rsidR="00F22382">
        <w:rPr>
          <w:rFonts w:asciiTheme="majorHAnsi" w:eastAsiaTheme="majorEastAsia" w:hAnsiTheme="majorHAnsi" w:cstheme="majorBidi"/>
          <w:b/>
          <w:szCs w:val="32"/>
        </w:rPr>
        <w:t xml:space="preserve">geschützte </w:t>
      </w:r>
      <w:r w:rsidR="00611C21">
        <w:rPr>
          <w:rFonts w:asciiTheme="majorHAnsi" w:eastAsiaTheme="majorEastAsia" w:hAnsiTheme="majorHAnsi" w:cstheme="majorBidi"/>
          <w:b/>
          <w:szCs w:val="32"/>
        </w:rPr>
        <w:t xml:space="preserve">Einstellnadel </w:t>
      </w:r>
      <w:r w:rsidR="00F22382">
        <w:rPr>
          <w:rFonts w:asciiTheme="majorHAnsi" w:eastAsiaTheme="majorEastAsia" w:hAnsiTheme="majorHAnsi" w:cstheme="majorBidi"/>
          <w:b/>
          <w:szCs w:val="32"/>
        </w:rPr>
        <w:t xml:space="preserve">verhindert </w:t>
      </w:r>
      <w:r w:rsidR="00611C21">
        <w:rPr>
          <w:rFonts w:asciiTheme="majorHAnsi" w:eastAsiaTheme="majorEastAsia" w:hAnsiTheme="majorHAnsi" w:cstheme="majorBidi"/>
          <w:b/>
          <w:szCs w:val="32"/>
        </w:rPr>
        <w:t>eine Manipulation o</w:t>
      </w:r>
      <w:r w:rsidR="00CC6C13">
        <w:rPr>
          <w:rFonts w:asciiTheme="majorHAnsi" w:eastAsiaTheme="majorEastAsia" w:hAnsiTheme="majorHAnsi" w:cstheme="majorBidi"/>
          <w:b/>
          <w:szCs w:val="32"/>
        </w:rPr>
        <w:t>hne Werkzeug</w:t>
      </w:r>
      <w:r w:rsidR="00F22382">
        <w:rPr>
          <w:rFonts w:asciiTheme="majorHAnsi" w:eastAsiaTheme="majorEastAsia" w:hAnsiTheme="majorHAnsi" w:cstheme="majorBidi"/>
          <w:b/>
          <w:szCs w:val="32"/>
        </w:rPr>
        <w:t xml:space="preserve"> oder durch äußere Einflüsse wie Vibrationen.</w:t>
      </w:r>
      <w:r w:rsidR="00CC6C13">
        <w:rPr>
          <w:rFonts w:asciiTheme="majorHAnsi" w:eastAsiaTheme="majorEastAsia" w:hAnsiTheme="majorHAnsi" w:cstheme="majorBidi"/>
          <w:b/>
          <w:szCs w:val="32"/>
        </w:rPr>
        <w:t xml:space="preserve"> </w:t>
      </w:r>
      <w:r w:rsidR="00F22382">
        <w:rPr>
          <w:rFonts w:asciiTheme="majorHAnsi" w:eastAsiaTheme="majorEastAsia" w:hAnsiTheme="majorHAnsi" w:cstheme="majorBidi"/>
          <w:b/>
          <w:szCs w:val="32"/>
        </w:rPr>
        <w:t>Daneben punktet die neue Lösung mit einem kompakten Design, schnelle</w:t>
      </w:r>
      <w:r w:rsidR="00D37C28">
        <w:rPr>
          <w:rFonts w:asciiTheme="majorHAnsi" w:eastAsiaTheme="majorEastAsia" w:hAnsiTheme="majorHAnsi" w:cstheme="majorBidi"/>
          <w:b/>
          <w:szCs w:val="32"/>
        </w:rPr>
        <w:t>m</w:t>
      </w:r>
      <w:r w:rsidR="00F22382">
        <w:rPr>
          <w:rFonts w:asciiTheme="majorHAnsi" w:eastAsiaTheme="majorEastAsia" w:hAnsiTheme="majorHAnsi" w:cstheme="majorBidi"/>
          <w:b/>
          <w:szCs w:val="32"/>
        </w:rPr>
        <w:t xml:space="preserve"> und einfache</w:t>
      </w:r>
      <w:r w:rsidR="00D37C28">
        <w:rPr>
          <w:rFonts w:asciiTheme="majorHAnsi" w:eastAsiaTheme="majorEastAsia" w:hAnsiTheme="majorHAnsi" w:cstheme="majorBidi"/>
          <w:b/>
          <w:szCs w:val="32"/>
        </w:rPr>
        <w:t>m</w:t>
      </w:r>
      <w:r w:rsidR="00F22382">
        <w:rPr>
          <w:rFonts w:asciiTheme="majorHAnsi" w:eastAsiaTheme="majorEastAsia" w:hAnsiTheme="majorHAnsi" w:cstheme="majorBidi"/>
          <w:b/>
          <w:szCs w:val="32"/>
        </w:rPr>
        <w:t xml:space="preserve"> Anschluss</w:t>
      </w:r>
      <w:r w:rsidR="00D37C28">
        <w:rPr>
          <w:rFonts w:asciiTheme="majorHAnsi" w:eastAsiaTheme="majorEastAsia" w:hAnsiTheme="majorHAnsi" w:cstheme="majorBidi"/>
          <w:b/>
          <w:szCs w:val="32"/>
        </w:rPr>
        <w:t xml:space="preserve"> sowie Flexibilität durch sechs verschiedene Anschlussgrößen.</w:t>
      </w:r>
    </w:p>
    <w:p w14:paraId="6F64B0E7" w14:textId="24352DD3" w:rsidR="00594A36" w:rsidRPr="004336DC" w:rsidRDefault="00D37C28" w:rsidP="000D2A8E">
      <w:pPr>
        <w:spacing w:line="360" w:lineRule="atLeast"/>
        <w:rPr>
          <w:rFonts w:asciiTheme="majorHAnsi" w:eastAsiaTheme="majorEastAsia" w:hAnsiTheme="majorHAnsi" w:cstheme="majorBidi"/>
          <w:szCs w:val="32"/>
        </w:rPr>
      </w:pPr>
      <w:r>
        <w:rPr>
          <w:rFonts w:asciiTheme="majorHAnsi" w:eastAsiaTheme="majorEastAsia" w:hAnsiTheme="majorHAnsi" w:cstheme="majorBidi"/>
          <w:szCs w:val="32"/>
        </w:rPr>
        <w:t>W</w:t>
      </w:r>
      <w:r w:rsidR="000D2A8E">
        <w:rPr>
          <w:rFonts w:asciiTheme="majorHAnsi" w:eastAsiaTheme="majorEastAsia" w:hAnsiTheme="majorHAnsi" w:cstheme="majorBidi"/>
          <w:szCs w:val="32"/>
        </w:rPr>
        <w:t>enn</w:t>
      </w:r>
      <w:r>
        <w:rPr>
          <w:rFonts w:asciiTheme="majorHAnsi" w:eastAsiaTheme="majorEastAsia" w:hAnsiTheme="majorHAnsi" w:cstheme="majorBidi"/>
          <w:szCs w:val="32"/>
        </w:rPr>
        <w:t xml:space="preserve"> es gilt,</w:t>
      </w:r>
      <w:r w:rsidR="000D2A8E" w:rsidRPr="000D2A8E">
        <w:rPr>
          <w:rFonts w:asciiTheme="majorHAnsi" w:eastAsiaTheme="majorEastAsia" w:hAnsiTheme="majorHAnsi" w:cstheme="majorBidi"/>
          <w:szCs w:val="32"/>
        </w:rPr>
        <w:t xml:space="preserve"> Teile</w:t>
      </w:r>
      <w:r>
        <w:rPr>
          <w:rFonts w:asciiTheme="majorHAnsi" w:eastAsiaTheme="majorEastAsia" w:hAnsiTheme="majorHAnsi" w:cstheme="majorBidi"/>
          <w:szCs w:val="32"/>
        </w:rPr>
        <w:t xml:space="preserve"> präzise und wiederholgenau zu bewegen, greifen Anwender auf</w:t>
      </w:r>
      <w:r w:rsidR="000D2A8E" w:rsidRPr="000D2A8E">
        <w:rPr>
          <w:rFonts w:asciiTheme="majorHAnsi" w:eastAsiaTheme="majorEastAsia" w:hAnsiTheme="majorHAnsi" w:cstheme="majorBidi"/>
          <w:szCs w:val="32"/>
        </w:rPr>
        <w:t xml:space="preserve"> </w:t>
      </w:r>
      <w:r>
        <w:rPr>
          <w:rFonts w:asciiTheme="majorHAnsi" w:eastAsiaTheme="majorEastAsia" w:hAnsiTheme="majorHAnsi" w:cstheme="majorBidi"/>
          <w:szCs w:val="32"/>
        </w:rPr>
        <w:t xml:space="preserve">Drosselrückschlagventile zurück. Bei </w:t>
      </w:r>
      <w:r w:rsidR="00611C21">
        <w:rPr>
          <w:rFonts w:asciiTheme="majorHAnsi" w:eastAsiaTheme="majorEastAsia" w:hAnsiTheme="majorHAnsi" w:cstheme="majorBidi"/>
          <w:szCs w:val="32"/>
        </w:rPr>
        <w:t xml:space="preserve">Anwendungen </w:t>
      </w:r>
      <w:r w:rsidR="000D2A8E" w:rsidRPr="000D2A8E">
        <w:rPr>
          <w:rFonts w:asciiTheme="majorHAnsi" w:eastAsiaTheme="majorEastAsia" w:hAnsiTheme="majorHAnsi" w:cstheme="majorBidi"/>
          <w:szCs w:val="32"/>
        </w:rPr>
        <w:t>in speziellen Umgebungen mit Schweißspritzern, Staub oder ultravioletter Strahlung</w:t>
      </w:r>
      <w:r>
        <w:rPr>
          <w:rFonts w:asciiTheme="majorHAnsi" w:eastAsiaTheme="majorEastAsia" w:hAnsiTheme="majorHAnsi" w:cstheme="majorBidi"/>
          <w:szCs w:val="32"/>
        </w:rPr>
        <w:t xml:space="preserve"> müssen die Ventile</w:t>
      </w:r>
      <w:r w:rsidR="00041A81">
        <w:rPr>
          <w:rFonts w:asciiTheme="majorHAnsi" w:eastAsiaTheme="majorEastAsia" w:hAnsiTheme="majorHAnsi" w:cstheme="majorBidi"/>
          <w:szCs w:val="32"/>
        </w:rPr>
        <w:t xml:space="preserve"> jedoch</w:t>
      </w:r>
      <w:r>
        <w:rPr>
          <w:rFonts w:asciiTheme="majorHAnsi" w:eastAsiaTheme="majorEastAsia" w:hAnsiTheme="majorHAnsi" w:cstheme="majorBidi"/>
          <w:szCs w:val="32"/>
        </w:rPr>
        <w:t xml:space="preserve"> besondere Anforderungen erfüllen.</w:t>
      </w:r>
      <w:r w:rsidR="000D2A8E" w:rsidRPr="000D2A8E">
        <w:rPr>
          <w:rFonts w:asciiTheme="majorHAnsi" w:eastAsiaTheme="majorEastAsia" w:hAnsiTheme="majorHAnsi" w:cstheme="majorBidi"/>
          <w:szCs w:val="32"/>
        </w:rPr>
        <w:t xml:space="preserve"> </w:t>
      </w:r>
      <w:r w:rsidR="00370C41" w:rsidRPr="000D2A8E">
        <w:rPr>
          <w:rFonts w:asciiTheme="majorHAnsi" w:eastAsiaTheme="majorEastAsia" w:hAnsiTheme="majorHAnsi" w:cstheme="majorBidi"/>
          <w:szCs w:val="32"/>
        </w:rPr>
        <w:t xml:space="preserve">Damit </w:t>
      </w:r>
      <w:r w:rsidR="00E7035E" w:rsidRPr="000D2A8E">
        <w:rPr>
          <w:rFonts w:asciiTheme="majorHAnsi" w:eastAsiaTheme="majorEastAsia" w:hAnsiTheme="majorHAnsi" w:cstheme="majorBidi"/>
          <w:szCs w:val="32"/>
        </w:rPr>
        <w:t>Anwender</w:t>
      </w:r>
      <w:r w:rsidR="00370C41" w:rsidRPr="000D2A8E">
        <w:rPr>
          <w:rFonts w:asciiTheme="majorHAnsi" w:eastAsiaTheme="majorEastAsia" w:hAnsiTheme="majorHAnsi" w:cstheme="majorBidi"/>
          <w:szCs w:val="32"/>
        </w:rPr>
        <w:t xml:space="preserve"> </w:t>
      </w:r>
      <w:r w:rsidR="00041A81">
        <w:rPr>
          <w:rFonts w:asciiTheme="majorHAnsi" w:eastAsiaTheme="majorEastAsia" w:hAnsiTheme="majorHAnsi" w:cstheme="majorBidi"/>
          <w:szCs w:val="32"/>
        </w:rPr>
        <w:t xml:space="preserve">hierbei auf eine zuverlässige, flexible und sichere Lösung setzen können, </w:t>
      </w:r>
      <w:r w:rsidR="00370C41" w:rsidRPr="000D2A8E">
        <w:rPr>
          <w:rFonts w:asciiTheme="majorHAnsi" w:eastAsiaTheme="majorEastAsia" w:hAnsiTheme="majorHAnsi" w:cstheme="majorBidi"/>
          <w:szCs w:val="32"/>
        </w:rPr>
        <w:t xml:space="preserve">hat SMC nun </w:t>
      </w:r>
      <w:r w:rsidR="00281908" w:rsidRPr="000D2A8E">
        <w:rPr>
          <w:rFonts w:asciiTheme="majorHAnsi" w:eastAsiaTheme="majorEastAsia" w:hAnsiTheme="majorHAnsi" w:cstheme="majorBidi"/>
          <w:szCs w:val="32"/>
        </w:rPr>
        <w:t xml:space="preserve">die </w:t>
      </w:r>
      <w:r w:rsidR="008B6340" w:rsidRPr="000D2A8E">
        <w:rPr>
          <w:rFonts w:asciiTheme="majorHAnsi" w:eastAsiaTheme="majorEastAsia" w:hAnsiTheme="majorHAnsi" w:cstheme="majorBidi"/>
          <w:szCs w:val="32"/>
        </w:rPr>
        <w:t xml:space="preserve">Serie </w:t>
      </w:r>
      <w:r w:rsidR="00E7035E" w:rsidRPr="000D2A8E">
        <w:rPr>
          <w:rFonts w:asciiTheme="majorHAnsi" w:eastAsiaTheme="majorEastAsia" w:hAnsiTheme="majorHAnsi" w:cstheme="majorBidi"/>
          <w:szCs w:val="32"/>
        </w:rPr>
        <w:t>ASB-D</w:t>
      </w:r>
      <w:r w:rsidR="00281908">
        <w:rPr>
          <w:rFonts w:asciiTheme="majorHAnsi" w:eastAsiaTheme="majorEastAsia" w:hAnsiTheme="majorHAnsi" w:cstheme="majorBidi"/>
          <w:szCs w:val="32"/>
        </w:rPr>
        <w:t xml:space="preserve"> </w:t>
      </w:r>
      <w:r w:rsidR="00D05FE6">
        <w:rPr>
          <w:rFonts w:asciiTheme="majorHAnsi" w:eastAsiaTheme="majorEastAsia" w:hAnsiTheme="majorHAnsi" w:cstheme="majorBidi"/>
          <w:szCs w:val="32"/>
        </w:rPr>
        <w:t>entwickelt</w:t>
      </w:r>
      <w:r w:rsidR="00370C41" w:rsidRPr="00370C41">
        <w:rPr>
          <w:rFonts w:asciiTheme="majorHAnsi" w:eastAsiaTheme="majorEastAsia" w:hAnsiTheme="majorHAnsi" w:cstheme="majorBidi"/>
          <w:szCs w:val="32"/>
        </w:rPr>
        <w:t xml:space="preserve">. Die </w:t>
      </w:r>
      <w:r w:rsidR="00281908">
        <w:rPr>
          <w:rFonts w:asciiTheme="majorHAnsi" w:eastAsiaTheme="majorEastAsia" w:hAnsiTheme="majorHAnsi" w:cstheme="majorBidi"/>
          <w:szCs w:val="32"/>
        </w:rPr>
        <w:t xml:space="preserve">neuen </w:t>
      </w:r>
      <w:r w:rsidR="00E7035E">
        <w:rPr>
          <w:rFonts w:asciiTheme="majorHAnsi" w:eastAsiaTheme="majorEastAsia" w:hAnsiTheme="majorHAnsi" w:cstheme="majorBidi"/>
          <w:szCs w:val="32"/>
        </w:rPr>
        <w:t>Drosselrückschlagventile mit Steckverbindung und Sicherungsmutter</w:t>
      </w:r>
      <w:r w:rsidR="00281908">
        <w:rPr>
          <w:rFonts w:asciiTheme="majorHAnsi" w:eastAsiaTheme="majorEastAsia" w:hAnsiTheme="majorHAnsi" w:cstheme="majorBidi"/>
          <w:szCs w:val="32"/>
        </w:rPr>
        <w:t xml:space="preserve"> </w:t>
      </w:r>
      <w:r w:rsidR="008B6340">
        <w:rPr>
          <w:rFonts w:asciiTheme="majorHAnsi" w:eastAsiaTheme="majorEastAsia" w:hAnsiTheme="majorHAnsi" w:cstheme="majorBidi"/>
          <w:szCs w:val="32"/>
        </w:rPr>
        <w:t xml:space="preserve">überzeugen </w:t>
      </w:r>
      <w:r w:rsidR="00A7073B">
        <w:rPr>
          <w:rFonts w:asciiTheme="majorHAnsi" w:eastAsiaTheme="majorEastAsia" w:hAnsiTheme="majorHAnsi" w:cstheme="majorBidi"/>
          <w:szCs w:val="32"/>
        </w:rPr>
        <w:t>dank</w:t>
      </w:r>
      <w:r w:rsidR="00E068FC">
        <w:rPr>
          <w:rFonts w:asciiTheme="majorHAnsi" w:eastAsiaTheme="majorEastAsia" w:hAnsiTheme="majorHAnsi" w:cstheme="majorBidi"/>
          <w:szCs w:val="32"/>
        </w:rPr>
        <w:t xml:space="preserve"> Außenteilen aus Metal</w:t>
      </w:r>
      <w:r w:rsidR="00A7073B">
        <w:rPr>
          <w:rFonts w:asciiTheme="majorHAnsi" w:eastAsiaTheme="majorEastAsia" w:hAnsiTheme="majorHAnsi" w:cstheme="majorBidi"/>
          <w:szCs w:val="32"/>
        </w:rPr>
        <w:t>l mit einer</w:t>
      </w:r>
      <w:r w:rsidR="000D2A8E">
        <w:rPr>
          <w:rFonts w:asciiTheme="majorHAnsi" w:eastAsiaTheme="majorEastAsia" w:hAnsiTheme="majorHAnsi" w:cstheme="majorBidi"/>
          <w:szCs w:val="32"/>
        </w:rPr>
        <w:t xml:space="preserve"> verbesserten Umweltbeständigkeit</w:t>
      </w:r>
      <w:r w:rsidR="00834E9D">
        <w:rPr>
          <w:rFonts w:asciiTheme="majorHAnsi" w:eastAsiaTheme="majorEastAsia" w:hAnsiTheme="majorHAnsi" w:cstheme="majorBidi"/>
          <w:szCs w:val="32"/>
        </w:rPr>
        <w:t xml:space="preserve"> und sind</w:t>
      </w:r>
      <w:r w:rsidR="00A7073B">
        <w:rPr>
          <w:rFonts w:asciiTheme="majorHAnsi" w:eastAsiaTheme="majorEastAsia" w:hAnsiTheme="majorHAnsi" w:cstheme="majorBidi"/>
          <w:szCs w:val="32"/>
        </w:rPr>
        <w:t xml:space="preserve"> </w:t>
      </w:r>
      <w:r w:rsidR="00A91775">
        <w:rPr>
          <w:rFonts w:asciiTheme="majorHAnsi" w:eastAsiaTheme="majorEastAsia" w:hAnsiTheme="majorHAnsi" w:cstheme="majorBidi"/>
          <w:szCs w:val="32"/>
        </w:rPr>
        <w:t xml:space="preserve">somit </w:t>
      </w:r>
      <w:r w:rsidR="00834E9D">
        <w:rPr>
          <w:rFonts w:asciiTheme="majorHAnsi" w:eastAsiaTheme="majorEastAsia" w:hAnsiTheme="majorHAnsi" w:cstheme="majorBidi"/>
          <w:szCs w:val="32"/>
        </w:rPr>
        <w:t xml:space="preserve">für den </w:t>
      </w:r>
      <w:r w:rsidR="00611C21">
        <w:rPr>
          <w:rFonts w:asciiTheme="majorHAnsi" w:eastAsiaTheme="majorEastAsia" w:hAnsiTheme="majorHAnsi" w:cstheme="majorBidi"/>
          <w:szCs w:val="32"/>
        </w:rPr>
        <w:t xml:space="preserve">Einsatz in rauen </w:t>
      </w:r>
      <w:r w:rsidR="00834E9D">
        <w:rPr>
          <w:rFonts w:asciiTheme="majorHAnsi" w:eastAsiaTheme="majorEastAsia" w:hAnsiTheme="majorHAnsi" w:cstheme="majorBidi"/>
          <w:szCs w:val="32"/>
        </w:rPr>
        <w:t xml:space="preserve">Umgebungen </w:t>
      </w:r>
      <w:r w:rsidR="00611C21">
        <w:rPr>
          <w:rFonts w:asciiTheme="majorHAnsi" w:eastAsiaTheme="majorEastAsia" w:hAnsiTheme="majorHAnsi" w:cstheme="majorBidi"/>
          <w:szCs w:val="32"/>
        </w:rPr>
        <w:t>und</w:t>
      </w:r>
      <w:r w:rsidR="00A91775">
        <w:rPr>
          <w:rFonts w:asciiTheme="majorHAnsi" w:eastAsiaTheme="majorEastAsia" w:hAnsiTheme="majorHAnsi" w:cstheme="majorBidi"/>
          <w:szCs w:val="32"/>
        </w:rPr>
        <w:t xml:space="preserve"> Außenbereichen</w:t>
      </w:r>
      <w:r w:rsidR="00A7073B">
        <w:rPr>
          <w:rFonts w:asciiTheme="majorHAnsi" w:eastAsiaTheme="majorEastAsia" w:hAnsiTheme="majorHAnsi" w:cstheme="majorBidi"/>
          <w:szCs w:val="32"/>
        </w:rPr>
        <w:t xml:space="preserve"> </w:t>
      </w:r>
      <w:r w:rsidR="00834E9D">
        <w:rPr>
          <w:rFonts w:asciiTheme="majorHAnsi" w:eastAsiaTheme="majorEastAsia" w:hAnsiTheme="majorHAnsi" w:cstheme="majorBidi"/>
          <w:szCs w:val="32"/>
        </w:rPr>
        <w:t>geeignet</w:t>
      </w:r>
      <w:r w:rsidR="00E068FC" w:rsidRPr="00D55EEB">
        <w:rPr>
          <w:rFonts w:asciiTheme="majorHAnsi" w:eastAsiaTheme="majorEastAsia" w:hAnsiTheme="majorHAnsi" w:cstheme="majorBidi"/>
          <w:color w:val="000000" w:themeColor="text1"/>
          <w:szCs w:val="32"/>
        </w:rPr>
        <w:t>.</w:t>
      </w:r>
      <w:r w:rsidR="00A91775" w:rsidRPr="00D55EEB">
        <w:rPr>
          <w:rFonts w:asciiTheme="majorHAnsi" w:eastAsiaTheme="majorEastAsia" w:hAnsiTheme="majorHAnsi" w:cstheme="majorBidi"/>
          <w:color w:val="000000" w:themeColor="text1"/>
          <w:szCs w:val="32"/>
        </w:rPr>
        <w:t xml:space="preserve"> </w:t>
      </w:r>
      <w:r w:rsidR="00834E9D">
        <w:rPr>
          <w:rFonts w:asciiTheme="majorHAnsi" w:eastAsiaTheme="majorEastAsia" w:hAnsiTheme="majorHAnsi" w:cstheme="majorBidi"/>
          <w:color w:val="000000" w:themeColor="text1"/>
          <w:szCs w:val="32"/>
        </w:rPr>
        <w:t xml:space="preserve">Eine </w:t>
      </w:r>
      <w:r w:rsidR="005230C2">
        <w:rPr>
          <w:rFonts w:asciiTheme="majorHAnsi" w:eastAsiaTheme="majorEastAsia" w:hAnsiTheme="majorHAnsi" w:cstheme="majorBidi"/>
          <w:color w:val="000000" w:themeColor="text1"/>
          <w:szCs w:val="32"/>
        </w:rPr>
        <w:t xml:space="preserve">nur </w:t>
      </w:r>
      <w:r w:rsidR="00834E9D">
        <w:rPr>
          <w:rFonts w:asciiTheme="majorHAnsi" w:eastAsiaTheme="majorEastAsia" w:hAnsiTheme="majorHAnsi" w:cstheme="majorBidi"/>
          <w:color w:val="000000" w:themeColor="text1"/>
          <w:szCs w:val="32"/>
        </w:rPr>
        <w:t xml:space="preserve">mit </w:t>
      </w:r>
      <w:r w:rsidR="00BE45AD">
        <w:rPr>
          <w:rFonts w:asciiTheme="majorHAnsi" w:eastAsiaTheme="majorEastAsia" w:hAnsiTheme="majorHAnsi" w:cstheme="majorBidi"/>
          <w:szCs w:val="32"/>
        </w:rPr>
        <w:t>Gabelschlüssel</w:t>
      </w:r>
      <w:r w:rsidR="00BE45AD">
        <w:rPr>
          <w:rFonts w:asciiTheme="majorHAnsi" w:eastAsiaTheme="majorEastAsia" w:hAnsiTheme="majorHAnsi" w:cstheme="majorBidi"/>
          <w:color w:val="000000" w:themeColor="text1"/>
          <w:szCs w:val="32"/>
        </w:rPr>
        <w:t xml:space="preserve"> </w:t>
      </w:r>
      <w:r w:rsidR="009450EA">
        <w:rPr>
          <w:rFonts w:asciiTheme="majorHAnsi" w:eastAsiaTheme="majorEastAsia" w:hAnsiTheme="majorHAnsi" w:cstheme="majorBidi"/>
          <w:color w:val="000000" w:themeColor="text1"/>
          <w:szCs w:val="32"/>
        </w:rPr>
        <w:t xml:space="preserve">bedienbare </w:t>
      </w:r>
      <w:r w:rsidR="00611C21">
        <w:rPr>
          <w:rFonts w:asciiTheme="majorHAnsi" w:eastAsiaTheme="majorEastAsia" w:hAnsiTheme="majorHAnsi" w:cstheme="majorBidi"/>
          <w:color w:val="000000" w:themeColor="text1"/>
          <w:szCs w:val="32"/>
        </w:rPr>
        <w:t xml:space="preserve">Sicherungsmutter </w:t>
      </w:r>
      <w:r w:rsidR="005230C2">
        <w:rPr>
          <w:rFonts w:asciiTheme="majorHAnsi" w:eastAsiaTheme="majorEastAsia" w:hAnsiTheme="majorHAnsi" w:cstheme="majorBidi"/>
          <w:szCs w:val="32"/>
        </w:rPr>
        <w:t>verhindert das unbeabsichtigte Verstellen der Nadelposition</w:t>
      </w:r>
      <w:r w:rsidR="004336DC">
        <w:rPr>
          <w:rFonts w:asciiTheme="majorHAnsi" w:eastAsiaTheme="majorEastAsia" w:hAnsiTheme="majorHAnsi" w:cstheme="majorBidi"/>
          <w:szCs w:val="32"/>
        </w:rPr>
        <w:t>.</w:t>
      </w:r>
      <w:r w:rsidR="00594A36">
        <w:rPr>
          <w:rFonts w:asciiTheme="majorHAnsi" w:eastAsiaTheme="majorEastAsia" w:hAnsiTheme="majorHAnsi" w:cstheme="majorBidi"/>
          <w:szCs w:val="32"/>
        </w:rPr>
        <w:t xml:space="preserve"> </w:t>
      </w:r>
      <w:r w:rsidR="005230C2">
        <w:rPr>
          <w:rFonts w:asciiTheme="majorHAnsi" w:eastAsiaTheme="majorEastAsia" w:hAnsiTheme="majorHAnsi" w:cstheme="majorBidi"/>
          <w:szCs w:val="32"/>
        </w:rPr>
        <w:t xml:space="preserve">Darüber hinaus ist die Serie ASB-D noch kompakter konstruiert und bietet durch verschiedene </w:t>
      </w:r>
      <w:r w:rsidR="00E01D6D">
        <w:rPr>
          <w:rFonts w:asciiTheme="majorHAnsi" w:eastAsiaTheme="majorEastAsia" w:hAnsiTheme="majorHAnsi" w:cstheme="majorBidi"/>
          <w:szCs w:val="32"/>
        </w:rPr>
        <w:t xml:space="preserve">verwendbare </w:t>
      </w:r>
      <w:r w:rsidR="00E01D6D" w:rsidRPr="00B1727A">
        <w:rPr>
          <w:rFonts w:asciiTheme="majorHAnsi" w:eastAsiaTheme="majorEastAsia" w:hAnsiTheme="majorHAnsi" w:cstheme="majorBidi"/>
          <w:szCs w:val="32"/>
        </w:rPr>
        <w:t>Schlauchaußen</w:t>
      </w:r>
      <w:r w:rsidR="00E01D6D">
        <w:rPr>
          <w:rFonts w:asciiTheme="majorHAnsi" w:eastAsiaTheme="majorEastAsia" w:hAnsiTheme="majorHAnsi" w:cstheme="majorBidi"/>
          <w:szCs w:val="32"/>
        </w:rPr>
        <w:t>-</w:t>
      </w:r>
      <w:r w:rsidR="00E01D6D" w:rsidRPr="00B1727A">
        <w:rPr>
          <w:rFonts w:asciiTheme="majorHAnsi" w:eastAsiaTheme="majorEastAsia" w:hAnsiTheme="majorHAnsi" w:cstheme="majorBidi"/>
          <w:szCs w:val="32"/>
        </w:rPr>
        <w:t xml:space="preserve">Ø </w:t>
      </w:r>
      <w:r w:rsidR="005230C2">
        <w:rPr>
          <w:rFonts w:asciiTheme="majorHAnsi" w:eastAsiaTheme="majorEastAsia" w:hAnsiTheme="majorHAnsi" w:cstheme="majorBidi"/>
          <w:szCs w:val="32"/>
        </w:rPr>
        <w:t>und eine breite Auswahl bei den Anschlussgrößen ein hohes Maß an Flexibilität.</w:t>
      </w:r>
    </w:p>
    <w:p w14:paraId="714DF9D1" w14:textId="027DDE55" w:rsidR="0069639E" w:rsidRDefault="00FE0A94" w:rsidP="00905226">
      <w:pPr>
        <w:spacing w:line="360" w:lineRule="atLeast"/>
        <w:rPr>
          <w:rFonts w:asciiTheme="majorHAnsi" w:eastAsiaTheme="majorEastAsia" w:hAnsiTheme="majorHAnsi" w:cstheme="majorBidi"/>
          <w:szCs w:val="32"/>
        </w:rPr>
      </w:pPr>
      <w:r>
        <w:rPr>
          <w:rFonts w:asciiTheme="majorHAnsi" w:eastAsiaTheme="majorEastAsia" w:hAnsiTheme="majorHAnsi" w:cstheme="majorBidi"/>
          <w:b/>
          <w:color w:val="000000" w:themeColor="text1"/>
          <w:szCs w:val="32"/>
        </w:rPr>
        <w:t>Robust und beständig</w:t>
      </w:r>
      <w:r w:rsidR="00AB792F">
        <w:rPr>
          <w:rFonts w:asciiTheme="majorHAnsi" w:eastAsiaTheme="majorEastAsia" w:hAnsiTheme="majorHAnsi" w:cstheme="majorBidi"/>
          <w:b/>
          <w:color w:val="000000" w:themeColor="text1"/>
          <w:szCs w:val="32"/>
        </w:rPr>
        <w:t xml:space="preserve"> </w:t>
      </w:r>
      <w:r w:rsidR="0099274F">
        <w:rPr>
          <w:rFonts w:asciiTheme="majorHAnsi" w:eastAsiaTheme="majorEastAsia" w:hAnsiTheme="majorHAnsi" w:cstheme="majorBidi"/>
          <w:b/>
          <w:color w:val="000000" w:themeColor="text1"/>
          <w:szCs w:val="32"/>
        </w:rPr>
        <w:t>gegen Umwelteinflüsse</w:t>
      </w:r>
      <w:r w:rsidR="00E33B35" w:rsidRPr="004F78F4">
        <w:rPr>
          <w:rFonts w:asciiTheme="majorHAnsi" w:eastAsiaTheme="majorEastAsia" w:hAnsiTheme="majorHAnsi" w:cstheme="majorBidi"/>
          <w:b/>
          <w:color w:val="FF0000"/>
          <w:szCs w:val="32"/>
        </w:rPr>
        <w:br/>
      </w:r>
      <w:r w:rsidR="005230C2">
        <w:rPr>
          <w:rFonts w:asciiTheme="majorHAnsi" w:eastAsiaTheme="majorEastAsia" w:hAnsiTheme="majorHAnsi" w:cstheme="majorBidi"/>
          <w:szCs w:val="32"/>
        </w:rPr>
        <w:t xml:space="preserve">Durch </w:t>
      </w:r>
      <w:r w:rsidR="00753479">
        <w:rPr>
          <w:rFonts w:asciiTheme="majorHAnsi" w:eastAsiaTheme="majorEastAsia" w:hAnsiTheme="majorHAnsi" w:cstheme="majorBidi"/>
          <w:szCs w:val="32"/>
        </w:rPr>
        <w:t>das Vollmetallgehäuse in zwei Ausführungen</w:t>
      </w:r>
      <w:r w:rsidR="005230C2">
        <w:rPr>
          <w:rFonts w:asciiTheme="majorHAnsi" w:eastAsiaTheme="majorEastAsia" w:hAnsiTheme="majorHAnsi" w:cstheme="majorBidi"/>
          <w:szCs w:val="32"/>
        </w:rPr>
        <w:t xml:space="preserve"> eignen sich die </w:t>
      </w:r>
      <w:r w:rsidR="00E12A89">
        <w:rPr>
          <w:rFonts w:asciiTheme="majorHAnsi" w:eastAsiaTheme="majorEastAsia" w:hAnsiTheme="majorHAnsi" w:cstheme="majorBidi"/>
          <w:szCs w:val="32"/>
        </w:rPr>
        <w:t xml:space="preserve">neuen </w:t>
      </w:r>
      <w:r w:rsidR="00D55EEB">
        <w:rPr>
          <w:rFonts w:asciiTheme="majorHAnsi" w:eastAsiaTheme="majorEastAsia" w:hAnsiTheme="majorHAnsi" w:cstheme="majorBidi"/>
          <w:szCs w:val="32"/>
        </w:rPr>
        <w:t>Drosselrückschlagventile</w:t>
      </w:r>
      <w:r w:rsidR="00774CC7">
        <w:rPr>
          <w:rFonts w:asciiTheme="majorHAnsi" w:eastAsiaTheme="majorEastAsia" w:hAnsiTheme="majorHAnsi" w:cstheme="majorBidi"/>
          <w:szCs w:val="32"/>
        </w:rPr>
        <w:t xml:space="preserve"> für raue Umweltbedingungen. Dazu zählen etwa</w:t>
      </w:r>
      <w:r w:rsidR="00AB792F">
        <w:rPr>
          <w:rFonts w:asciiTheme="majorHAnsi" w:eastAsiaTheme="majorEastAsia" w:hAnsiTheme="majorHAnsi" w:cstheme="majorBidi"/>
          <w:szCs w:val="32"/>
        </w:rPr>
        <w:t xml:space="preserve"> Schweißumgebungen </w:t>
      </w:r>
      <w:r w:rsidR="00774CC7">
        <w:rPr>
          <w:rFonts w:asciiTheme="majorHAnsi" w:eastAsiaTheme="majorEastAsia" w:hAnsiTheme="majorHAnsi" w:cstheme="majorBidi"/>
          <w:szCs w:val="32"/>
        </w:rPr>
        <w:t>(</w:t>
      </w:r>
      <w:r w:rsidR="009D04B5">
        <w:rPr>
          <w:rFonts w:asciiTheme="majorHAnsi" w:eastAsiaTheme="majorEastAsia" w:hAnsiTheme="majorHAnsi" w:cstheme="majorBidi"/>
          <w:szCs w:val="32"/>
        </w:rPr>
        <w:t xml:space="preserve">mit Außenteilen </w:t>
      </w:r>
      <w:r w:rsidR="00AB792F">
        <w:rPr>
          <w:rFonts w:asciiTheme="majorHAnsi" w:eastAsiaTheme="majorEastAsia" w:hAnsiTheme="majorHAnsi" w:cstheme="majorBidi"/>
          <w:szCs w:val="32"/>
        </w:rPr>
        <w:t xml:space="preserve">aus blankem </w:t>
      </w:r>
      <w:r w:rsidR="009D04B5">
        <w:rPr>
          <w:rFonts w:asciiTheme="majorHAnsi" w:eastAsiaTheme="majorEastAsia" w:hAnsiTheme="majorHAnsi" w:cstheme="majorBidi"/>
          <w:szCs w:val="32"/>
        </w:rPr>
        <w:t>Messing</w:t>
      </w:r>
      <w:r w:rsidR="00774CC7">
        <w:rPr>
          <w:rFonts w:asciiTheme="majorHAnsi" w:eastAsiaTheme="majorEastAsia" w:hAnsiTheme="majorHAnsi" w:cstheme="majorBidi"/>
          <w:szCs w:val="32"/>
        </w:rPr>
        <w:t xml:space="preserve">) oder staubige oder von ultravioletter Strahlung geprägte Umgebungen (mit </w:t>
      </w:r>
      <w:r w:rsidR="001448C4">
        <w:rPr>
          <w:rFonts w:asciiTheme="majorHAnsi" w:eastAsiaTheme="majorEastAsia" w:hAnsiTheme="majorHAnsi" w:cstheme="majorBidi"/>
          <w:szCs w:val="32"/>
        </w:rPr>
        <w:t xml:space="preserve">chemisch </w:t>
      </w:r>
      <w:r w:rsidR="001448C4">
        <w:rPr>
          <w:rFonts w:asciiTheme="majorHAnsi" w:eastAsiaTheme="majorEastAsia" w:hAnsiTheme="majorHAnsi" w:cstheme="majorBidi"/>
          <w:szCs w:val="32"/>
        </w:rPr>
        <w:lastRenderedPageBreak/>
        <w:t>vernickelt</w:t>
      </w:r>
      <w:r w:rsidR="00774CC7">
        <w:rPr>
          <w:rFonts w:asciiTheme="majorHAnsi" w:eastAsiaTheme="majorEastAsia" w:hAnsiTheme="majorHAnsi" w:cstheme="majorBidi"/>
          <w:szCs w:val="32"/>
        </w:rPr>
        <w:t>en Außenteilen)</w:t>
      </w:r>
      <w:r w:rsidR="00356BA6">
        <w:rPr>
          <w:rFonts w:asciiTheme="majorHAnsi" w:eastAsiaTheme="majorEastAsia" w:hAnsiTheme="majorHAnsi" w:cstheme="majorBidi"/>
          <w:szCs w:val="32"/>
        </w:rPr>
        <w:t xml:space="preserve">. </w:t>
      </w:r>
      <w:r w:rsidR="00905226">
        <w:rPr>
          <w:rFonts w:asciiTheme="majorHAnsi" w:eastAsiaTheme="majorEastAsia" w:hAnsiTheme="majorHAnsi" w:cstheme="majorBidi"/>
          <w:szCs w:val="32"/>
        </w:rPr>
        <w:t>Im Gegensatz zu Kunststoffen sind sie deutlich robuster, beständiger und damit</w:t>
      </w:r>
      <w:r w:rsidR="00DA420C" w:rsidRPr="00DA420C">
        <w:rPr>
          <w:rFonts w:asciiTheme="majorHAnsi" w:eastAsiaTheme="majorEastAsia" w:hAnsiTheme="majorHAnsi" w:cstheme="majorBidi"/>
          <w:szCs w:val="32"/>
        </w:rPr>
        <w:t xml:space="preserve"> langlebiger, was </w:t>
      </w:r>
      <w:r w:rsidR="00905226">
        <w:rPr>
          <w:rFonts w:asciiTheme="majorHAnsi" w:eastAsiaTheme="majorEastAsia" w:hAnsiTheme="majorHAnsi" w:cstheme="majorBidi"/>
          <w:szCs w:val="32"/>
        </w:rPr>
        <w:t xml:space="preserve">nicht nur den Geldbeutel schont, sondern auch </w:t>
      </w:r>
      <w:r w:rsidR="00DA420C" w:rsidRPr="00DA420C">
        <w:rPr>
          <w:rFonts w:asciiTheme="majorHAnsi" w:eastAsiaTheme="majorEastAsia" w:hAnsiTheme="majorHAnsi" w:cstheme="majorBidi"/>
          <w:szCs w:val="32"/>
        </w:rPr>
        <w:t xml:space="preserve">auf </w:t>
      </w:r>
      <w:r w:rsidR="00905226">
        <w:rPr>
          <w:rFonts w:asciiTheme="majorHAnsi" w:eastAsiaTheme="majorEastAsia" w:hAnsiTheme="majorHAnsi" w:cstheme="majorBidi"/>
          <w:szCs w:val="32"/>
        </w:rPr>
        <w:t>eine verbesserte</w:t>
      </w:r>
      <w:r w:rsidR="00DA420C" w:rsidRPr="00DA420C">
        <w:rPr>
          <w:rFonts w:asciiTheme="majorHAnsi" w:eastAsiaTheme="majorEastAsia" w:hAnsiTheme="majorHAnsi" w:cstheme="majorBidi"/>
          <w:szCs w:val="32"/>
        </w:rPr>
        <w:t xml:space="preserve"> Nachhaltigkeit</w:t>
      </w:r>
      <w:r w:rsidR="00905226">
        <w:rPr>
          <w:rFonts w:asciiTheme="majorHAnsi" w:eastAsiaTheme="majorEastAsia" w:hAnsiTheme="majorHAnsi" w:cstheme="majorBidi"/>
          <w:szCs w:val="32"/>
        </w:rPr>
        <w:t xml:space="preserve"> </w:t>
      </w:r>
      <w:r w:rsidR="00DA420C" w:rsidRPr="00DA420C">
        <w:rPr>
          <w:rFonts w:asciiTheme="majorHAnsi" w:eastAsiaTheme="majorEastAsia" w:hAnsiTheme="majorHAnsi" w:cstheme="majorBidi"/>
          <w:szCs w:val="32"/>
        </w:rPr>
        <w:t xml:space="preserve">einzahlt. </w:t>
      </w:r>
    </w:p>
    <w:p w14:paraId="758A7588" w14:textId="2AA870F2" w:rsidR="001448C4" w:rsidRDefault="008D2643" w:rsidP="00374338">
      <w:pPr>
        <w:spacing w:line="360" w:lineRule="atLeast"/>
        <w:rPr>
          <w:rFonts w:asciiTheme="majorHAnsi" w:eastAsiaTheme="majorEastAsia" w:hAnsiTheme="majorHAnsi" w:cstheme="majorBidi"/>
          <w:szCs w:val="32"/>
        </w:rPr>
      </w:pPr>
      <w:r>
        <w:rPr>
          <w:rFonts w:asciiTheme="majorHAnsi" w:eastAsiaTheme="majorEastAsia" w:hAnsiTheme="majorHAnsi" w:cstheme="majorBidi"/>
          <w:b/>
          <w:bCs/>
          <w:szCs w:val="32"/>
        </w:rPr>
        <w:t>Sicher und</w:t>
      </w:r>
      <w:r w:rsidR="003A2CE4">
        <w:rPr>
          <w:rFonts w:asciiTheme="majorHAnsi" w:eastAsiaTheme="majorEastAsia" w:hAnsiTheme="majorHAnsi" w:cstheme="majorBidi"/>
          <w:b/>
          <w:bCs/>
          <w:szCs w:val="32"/>
        </w:rPr>
        <w:t xml:space="preserve"> kompakt</w:t>
      </w:r>
      <w:r w:rsidR="008B32B1">
        <w:rPr>
          <w:rFonts w:asciiTheme="majorHAnsi" w:eastAsiaTheme="majorEastAsia" w:hAnsiTheme="majorHAnsi" w:cstheme="majorBidi"/>
          <w:szCs w:val="32"/>
        </w:rPr>
        <w:br/>
      </w:r>
      <w:r w:rsidR="0099274F">
        <w:rPr>
          <w:rFonts w:asciiTheme="majorHAnsi" w:eastAsiaTheme="majorEastAsia" w:hAnsiTheme="majorHAnsi" w:cstheme="majorBidi"/>
          <w:szCs w:val="32"/>
        </w:rPr>
        <w:t xml:space="preserve">Anwender profitieren außerdem von zusätzlicher Sicherheit: Denn </w:t>
      </w:r>
      <w:r w:rsidR="001A0891">
        <w:rPr>
          <w:rFonts w:asciiTheme="majorHAnsi" w:eastAsiaTheme="majorEastAsia" w:hAnsiTheme="majorHAnsi" w:cstheme="majorBidi"/>
          <w:szCs w:val="32"/>
        </w:rPr>
        <w:t xml:space="preserve">dank einer </w:t>
      </w:r>
      <w:r w:rsidR="00BE45AD">
        <w:rPr>
          <w:rFonts w:asciiTheme="majorHAnsi" w:eastAsiaTheme="majorEastAsia" w:hAnsiTheme="majorHAnsi" w:cstheme="majorBidi"/>
          <w:szCs w:val="32"/>
        </w:rPr>
        <w:t xml:space="preserve">Schlitzschraube </w:t>
      </w:r>
      <w:r w:rsidR="001A0891">
        <w:rPr>
          <w:rFonts w:asciiTheme="majorHAnsi" w:eastAsiaTheme="majorEastAsia" w:hAnsiTheme="majorHAnsi" w:cstheme="majorBidi"/>
          <w:szCs w:val="32"/>
        </w:rPr>
        <w:t xml:space="preserve">gelingt </w:t>
      </w:r>
      <w:r w:rsidR="0099274F">
        <w:rPr>
          <w:rFonts w:asciiTheme="majorHAnsi" w:eastAsiaTheme="majorEastAsia" w:hAnsiTheme="majorHAnsi" w:cstheme="majorBidi"/>
          <w:szCs w:val="32"/>
        </w:rPr>
        <w:t xml:space="preserve">die </w:t>
      </w:r>
      <w:r w:rsidR="001A0891">
        <w:rPr>
          <w:rFonts w:asciiTheme="majorHAnsi" w:eastAsiaTheme="majorEastAsia" w:hAnsiTheme="majorHAnsi" w:cstheme="majorBidi"/>
          <w:szCs w:val="32"/>
        </w:rPr>
        <w:t>Einstellung der Nadelposition und damit dem Durchfluss bei</w:t>
      </w:r>
      <w:r w:rsidR="001A0891" w:rsidRPr="0099274F">
        <w:rPr>
          <w:rFonts w:asciiTheme="majorHAnsi" w:eastAsiaTheme="majorEastAsia" w:hAnsiTheme="majorHAnsi" w:cstheme="majorBidi"/>
          <w:szCs w:val="32"/>
        </w:rPr>
        <w:t xml:space="preserve"> </w:t>
      </w:r>
      <w:r w:rsidR="0099274F" w:rsidRPr="0099274F">
        <w:rPr>
          <w:rFonts w:asciiTheme="majorHAnsi" w:eastAsiaTheme="majorEastAsia" w:hAnsiTheme="majorHAnsi" w:cstheme="majorBidi"/>
          <w:szCs w:val="32"/>
        </w:rPr>
        <w:t xml:space="preserve">der Serie ASB-D </w:t>
      </w:r>
      <w:r w:rsidR="0099274F">
        <w:rPr>
          <w:rFonts w:asciiTheme="majorHAnsi" w:eastAsiaTheme="majorEastAsia" w:hAnsiTheme="majorHAnsi" w:cstheme="majorBidi"/>
          <w:szCs w:val="32"/>
        </w:rPr>
        <w:t>nu</w:t>
      </w:r>
      <w:r w:rsidR="001A0891">
        <w:rPr>
          <w:rFonts w:asciiTheme="majorHAnsi" w:eastAsiaTheme="majorEastAsia" w:hAnsiTheme="majorHAnsi" w:cstheme="majorBidi"/>
          <w:szCs w:val="32"/>
        </w:rPr>
        <w:t>r</w:t>
      </w:r>
      <w:r w:rsidR="0099274F">
        <w:rPr>
          <w:rFonts w:asciiTheme="majorHAnsi" w:eastAsiaTheme="majorEastAsia" w:hAnsiTheme="majorHAnsi" w:cstheme="majorBidi"/>
          <w:szCs w:val="32"/>
        </w:rPr>
        <w:t xml:space="preserve"> mit einem </w:t>
      </w:r>
      <w:r w:rsidR="0099274F" w:rsidRPr="0099274F">
        <w:rPr>
          <w:rFonts w:asciiTheme="majorHAnsi" w:eastAsiaTheme="majorEastAsia" w:hAnsiTheme="majorHAnsi" w:cstheme="majorBidi"/>
          <w:szCs w:val="32"/>
        </w:rPr>
        <w:t>Flachschraubendreher</w:t>
      </w:r>
      <w:r w:rsidR="001A0891">
        <w:rPr>
          <w:rFonts w:asciiTheme="majorHAnsi" w:eastAsiaTheme="majorEastAsia" w:hAnsiTheme="majorHAnsi" w:cstheme="majorBidi"/>
          <w:szCs w:val="32"/>
        </w:rPr>
        <w:t xml:space="preserve">. </w:t>
      </w:r>
      <w:r w:rsidR="00D1075C">
        <w:rPr>
          <w:rFonts w:asciiTheme="majorHAnsi" w:eastAsiaTheme="majorEastAsia" w:hAnsiTheme="majorHAnsi" w:cstheme="majorBidi"/>
          <w:szCs w:val="32"/>
        </w:rPr>
        <w:t xml:space="preserve">So wird die Einstellnadel vor unbeabsichtigter Betätigung oder Manipulation durch Unbefugte genauso wie vor </w:t>
      </w:r>
      <w:r w:rsidR="00D1075C" w:rsidRPr="001448C4">
        <w:rPr>
          <w:rFonts w:asciiTheme="majorHAnsi" w:eastAsiaTheme="majorEastAsia" w:hAnsiTheme="majorHAnsi" w:cstheme="majorBidi"/>
          <w:szCs w:val="32"/>
        </w:rPr>
        <w:t>Vibrationen oder Stößen geschützt</w:t>
      </w:r>
      <w:r w:rsidR="00D1075C">
        <w:rPr>
          <w:rFonts w:asciiTheme="majorHAnsi" w:eastAsiaTheme="majorEastAsia" w:hAnsiTheme="majorHAnsi" w:cstheme="majorBidi"/>
          <w:szCs w:val="32"/>
        </w:rPr>
        <w:t>. Das verbessert die Maschinen- und Prozesssicherheit.</w:t>
      </w:r>
      <w:r w:rsidR="0099274F">
        <w:rPr>
          <w:rFonts w:asciiTheme="majorHAnsi" w:eastAsiaTheme="majorEastAsia" w:hAnsiTheme="majorHAnsi" w:cstheme="majorBidi"/>
          <w:szCs w:val="32"/>
        </w:rPr>
        <w:t xml:space="preserve"> </w:t>
      </w:r>
    </w:p>
    <w:p w14:paraId="3048DDC2" w14:textId="3FE5CC58" w:rsidR="00DA420C" w:rsidRPr="00374338" w:rsidRDefault="00374338" w:rsidP="00374338">
      <w:pPr>
        <w:spacing w:line="360" w:lineRule="atLeast"/>
        <w:rPr>
          <w:rFonts w:asciiTheme="majorHAnsi" w:eastAsiaTheme="majorEastAsia" w:hAnsiTheme="majorHAnsi" w:cstheme="majorBidi"/>
          <w:szCs w:val="32"/>
        </w:rPr>
      </w:pPr>
      <w:r w:rsidRPr="00374338">
        <w:rPr>
          <w:rFonts w:asciiTheme="majorHAnsi" w:eastAsiaTheme="majorEastAsia" w:hAnsiTheme="majorHAnsi" w:cstheme="majorBidi"/>
          <w:szCs w:val="32"/>
        </w:rPr>
        <w:t xml:space="preserve">Die neue Serie </w:t>
      </w:r>
      <w:r>
        <w:rPr>
          <w:rFonts w:asciiTheme="majorHAnsi" w:eastAsiaTheme="majorEastAsia" w:hAnsiTheme="majorHAnsi" w:cstheme="majorBidi"/>
          <w:szCs w:val="32"/>
        </w:rPr>
        <w:t>ASB-D</w:t>
      </w:r>
      <w:r w:rsidRPr="00374338">
        <w:rPr>
          <w:rFonts w:asciiTheme="majorHAnsi" w:eastAsiaTheme="majorEastAsia" w:hAnsiTheme="majorHAnsi" w:cstheme="majorBidi"/>
          <w:szCs w:val="32"/>
        </w:rPr>
        <w:t xml:space="preserve"> überzeugt zudem durch eine kompaktere Bauweise im Vergleich zu</w:t>
      </w:r>
      <w:r>
        <w:rPr>
          <w:rFonts w:asciiTheme="majorHAnsi" w:eastAsiaTheme="majorEastAsia" w:hAnsiTheme="majorHAnsi" w:cstheme="majorBidi"/>
          <w:szCs w:val="32"/>
        </w:rPr>
        <w:t xml:space="preserve">r </w:t>
      </w:r>
      <w:r w:rsidRPr="00374338">
        <w:rPr>
          <w:rFonts w:asciiTheme="majorHAnsi" w:eastAsiaTheme="majorEastAsia" w:hAnsiTheme="majorHAnsi" w:cstheme="majorBidi"/>
          <w:szCs w:val="32"/>
        </w:rPr>
        <w:t>bestehenden Serie AS*2*1F-W2D</w:t>
      </w:r>
      <w:r w:rsidR="00D1075C">
        <w:rPr>
          <w:rFonts w:asciiTheme="majorHAnsi" w:eastAsiaTheme="majorEastAsia" w:hAnsiTheme="majorHAnsi" w:cstheme="majorBidi"/>
          <w:szCs w:val="32"/>
        </w:rPr>
        <w:t>:</w:t>
      </w:r>
      <w:r w:rsidRPr="00374338">
        <w:rPr>
          <w:rFonts w:asciiTheme="majorHAnsi" w:eastAsiaTheme="majorEastAsia" w:hAnsiTheme="majorHAnsi" w:cstheme="majorBidi"/>
          <w:szCs w:val="32"/>
        </w:rPr>
        <w:t xml:space="preserve"> So wurde </w:t>
      </w:r>
      <w:r>
        <w:rPr>
          <w:rFonts w:asciiTheme="majorHAnsi" w:eastAsiaTheme="majorEastAsia" w:hAnsiTheme="majorHAnsi" w:cstheme="majorBidi"/>
          <w:szCs w:val="32"/>
        </w:rPr>
        <w:t xml:space="preserve">die Ventilhöhe um </w:t>
      </w:r>
      <w:r w:rsidR="00D1075C">
        <w:rPr>
          <w:rFonts w:asciiTheme="majorHAnsi" w:eastAsiaTheme="majorEastAsia" w:hAnsiTheme="majorHAnsi" w:cstheme="majorBidi"/>
          <w:szCs w:val="32"/>
        </w:rPr>
        <w:t>rund</w:t>
      </w:r>
      <w:r>
        <w:rPr>
          <w:rFonts w:asciiTheme="majorHAnsi" w:eastAsiaTheme="majorEastAsia" w:hAnsiTheme="majorHAnsi" w:cstheme="majorBidi"/>
          <w:szCs w:val="32"/>
        </w:rPr>
        <w:t xml:space="preserve"> 28</w:t>
      </w:r>
      <w:r w:rsidR="00D1075C">
        <w:rPr>
          <w:rFonts w:asciiTheme="majorHAnsi" w:eastAsiaTheme="majorEastAsia" w:hAnsiTheme="majorHAnsi" w:cstheme="majorBidi"/>
          <w:szCs w:val="32"/>
        </w:rPr>
        <w:t xml:space="preserve"> </w:t>
      </w:r>
      <w:r>
        <w:rPr>
          <w:rFonts w:asciiTheme="majorHAnsi" w:eastAsiaTheme="majorEastAsia" w:hAnsiTheme="majorHAnsi" w:cstheme="majorBidi"/>
          <w:szCs w:val="32"/>
        </w:rPr>
        <w:t xml:space="preserve">% </w:t>
      </w:r>
      <w:r w:rsidR="0099274F">
        <w:rPr>
          <w:rFonts w:asciiTheme="majorHAnsi" w:eastAsiaTheme="majorEastAsia" w:hAnsiTheme="majorHAnsi" w:cstheme="majorBidi"/>
          <w:szCs w:val="32"/>
        </w:rPr>
        <w:t xml:space="preserve">auf 27,7 mm beim kleinsten Modell reduziert – </w:t>
      </w:r>
      <w:r w:rsidRPr="00374338">
        <w:rPr>
          <w:rFonts w:asciiTheme="majorHAnsi" w:eastAsiaTheme="majorEastAsia" w:hAnsiTheme="majorHAnsi" w:cstheme="majorBidi"/>
          <w:szCs w:val="32"/>
        </w:rPr>
        <w:t>insgesamt klare Vorteile für einen Einsatz in Anlagen mit wenig Platz oder zur Konstruktion von kompakten Maschinen.</w:t>
      </w:r>
    </w:p>
    <w:p w14:paraId="3E732E87" w14:textId="2FAA5038" w:rsidR="000F17C9" w:rsidRPr="000F17C9" w:rsidRDefault="00842DF7" w:rsidP="000F17C9">
      <w:pPr>
        <w:spacing w:line="360" w:lineRule="atLeast"/>
        <w:rPr>
          <w:rFonts w:asciiTheme="majorHAnsi" w:eastAsiaTheme="majorEastAsia" w:hAnsiTheme="majorHAnsi" w:cstheme="majorBidi"/>
          <w:szCs w:val="32"/>
        </w:rPr>
      </w:pPr>
      <w:r>
        <w:rPr>
          <w:rFonts w:asciiTheme="majorHAnsi" w:eastAsiaTheme="majorEastAsia" w:hAnsiTheme="majorHAnsi" w:cstheme="majorBidi"/>
          <w:b/>
          <w:szCs w:val="32"/>
        </w:rPr>
        <w:t xml:space="preserve">Breite Produktpalette </w:t>
      </w:r>
      <w:r w:rsidR="003A2CE4">
        <w:rPr>
          <w:rFonts w:asciiTheme="majorHAnsi" w:eastAsiaTheme="majorEastAsia" w:hAnsiTheme="majorHAnsi" w:cstheme="majorBidi"/>
          <w:b/>
          <w:szCs w:val="32"/>
        </w:rPr>
        <w:t xml:space="preserve">und </w:t>
      </w:r>
      <w:r>
        <w:rPr>
          <w:rFonts w:asciiTheme="majorHAnsi" w:eastAsiaTheme="majorEastAsia" w:hAnsiTheme="majorHAnsi" w:cstheme="majorBidi"/>
          <w:b/>
          <w:szCs w:val="32"/>
        </w:rPr>
        <w:t>Variationsmöglichkeiten</w:t>
      </w:r>
      <w:r w:rsidR="003A2CE4">
        <w:rPr>
          <w:rFonts w:asciiTheme="majorHAnsi" w:eastAsiaTheme="majorEastAsia" w:hAnsiTheme="majorHAnsi" w:cstheme="majorBidi"/>
          <w:b/>
          <w:szCs w:val="32"/>
        </w:rPr>
        <w:t xml:space="preserve"> </w:t>
      </w:r>
      <w:r w:rsidR="00896FAE">
        <w:rPr>
          <w:rFonts w:asciiTheme="majorHAnsi" w:eastAsiaTheme="majorEastAsia" w:hAnsiTheme="majorHAnsi" w:cstheme="majorBidi"/>
          <w:b/>
          <w:szCs w:val="32"/>
        </w:rPr>
        <w:t xml:space="preserve"> </w:t>
      </w:r>
      <w:r w:rsidR="009002E3">
        <w:rPr>
          <w:rFonts w:asciiTheme="majorHAnsi" w:eastAsiaTheme="majorEastAsia" w:hAnsiTheme="majorHAnsi" w:cstheme="majorBidi"/>
          <w:b/>
          <w:szCs w:val="32"/>
        </w:rPr>
        <w:br/>
      </w:r>
      <w:r w:rsidR="008D2643">
        <w:rPr>
          <w:rFonts w:asciiTheme="majorHAnsi" w:eastAsiaTheme="majorEastAsia" w:hAnsiTheme="majorHAnsi" w:cstheme="majorBidi"/>
          <w:szCs w:val="32"/>
        </w:rPr>
        <w:t>N</w:t>
      </w:r>
      <w:r w:rsidR="002657AC">
        <w:rPr>
          <w:rFonts w:asciiTheme="majorHAnsi" w:eastAsiaTheme="majorEastAsia" w:hAnsiTheme="majorHAnsi" w:cstheme="majorBidi"/>
          <w:szCs w:val="32"/>
        </w:rPr>
        <w:t xml:space="preserve">eben </w:t>
      </w:r>
      <w:r w:rsidR="008D2643">
        <w:rPr>
          <w:rFonts w:asciiTheme="majorHAnsi" w:eastAsiaTheme="majorEastAsia" w:hAnsiTheme="majorHAnsi" w:cstheme="majorBidi"/>
          <w:szCs w:val="32"/>
        </w:rPr>
        <w:t xml:space="preserve">der Steuerungsart Zu- und Abluftdrossel können Anwender auf </w:t>
      </w:r>
      <w:r w:rsidR="002657AC">
        <w:rPr>
          <w:rFonts w:asciiTheme="majorHAnsi" w:eastAsiaTheme="majorEastAsia" w:hAnsiTheme="majorHAnsi" w:cstheme="majorBidi"/>
          <w:szCs w:val="32"/>
        </w:rPr>
        <w:t xml:space="preserve">vier Baugrößen </w:t>
      </w:r>
      <w:r w:rsidR="00136D35">
        <w:rPr>
          <w:rFonts w:asciiTheme="majorHAnsi" w:eastAsiaTheme="majorEastAsia" w:hAnsiTheme="majorHAnsi" w:cstheme="majorBidi"/>
          <w:szCs w:val="32"/>
        </w:rPr>
        <w:t>mit den</w:t>
      </w:r>
      <w:r w:rsidR="00EC443A" w:rsidRPr="00EC443A">
        <w:rPr>
          <w:rFonts w:asciiTheme="majorHAnsi" w:eastAsiaTheme="majorEastAsia" w:hAnsiTheme="majorHAnsi" w:cstheme="majorBidi"/>
          <w:szCs w:val="32"/>
        </w:rPr>
        <w:t xml:space="preserve"> Gewindearten R, NPT und G </w:t>
      </w:r>
      <w:r w:rsidR="00136D35">
        <w:rPr>
          <w:rFonts w:asciiTheme="majorHAnsi" w:eastAsiaTheme="majorEastAsia" w:hAnsiTheme="majorHAnsi" w:cstheme="majorBidi"/>
          <w:szCs w:val="32"/>
        </w:rPr>
        <w:t>zurückgreifen</w:t>
      </w:r>
      <w:r w:rsidR="00EC443A" w:rsidRPr="00EC443A">
        <w:rPr>
          <w:rFonts w:asciiTheme="majorHAnsi" w:eastAsiaTheme="majorEastAsia" w:hAnsiTheme="majorHAnsi" w:cstheme="majorBidi"/>
          <w:szCs w:val="32"/>
        </w:rPr>
        <w:t>.</w:t>
      </w:r>
      <w:r w:rsidR="00E341F0">
        <w:rPr>
          <w:rFonts w:asciiTheme="majorHAnsi" w:eastAsiaTheme="majorEastAsia" w:hAnsiTheme="majorHAnsi" w:cstheme="majorBidi"/>
          <w:szCs w:val="32"/>
        </w:rPr>
        <w:t xml:space="preserve"> </w:t>
      </w:r>
      <w:r w:rsidR="00136D35">
        <w:rPr>
          <w:rFonts w:asciiTheme="majorHAnsi" w:eastAsiaTheme="majorEastAsia" w:hAnsiTheme="majorHAnsi" w:cstheme="majorBidi"/>
          <w:szCs w:val="32"/>
        </w:rPr>
        <w:t>Zudem</w:t>
      </w:r>
      <w:r w:rsidR="00E341F0">
        <w:rPr>
          <w:rFonts w:asciiTheme="majorHAnsi" w:eastAsiaTheme="majorEastAsia" w:hAnsiTheme="majorHAnsi" w:cstheme="majorBidi"/>
          <w:szCs w:val="32"/>
        </w:rPr>
        <w:t xml:space="preserve"> </w:t>
      </w:r>
      <w:r w:rsidR="00E341F0" w:rsidRPr="00E341F0">
        <w:rPr>
          <w:rFonts w:asciiTheme="majorHAnsi" w:eastAsiaTheme="majorEastAsia" w:hAnsiTheme="majorHAnsi" w:cstheme="majorBidi"/>
          <w:szCs w:val="32"/>
        </w:rPr>
        <w:t>ermöglicht die Steckverbindung des Ventils einen einfachen und schnellen Anschluss</w:t>
      </w:r>
      <w:r w:rsidR="00E341F0">
        <w:rPr>
          <w:rFonts w:asciiTheme="majorHAnsi" w:eastAsiaTheme="majorEastAsia" w:hAnsiTheme="majorHAnsi" w:cstheme="majorBidi"/>
          <w:szCs w:val="32"/>
        </w:rPr>
        <w:t xml:space="preserve"> für die sechs wählbaren Anschlussgrößen </w:t>
      </w:r>
      <w:r w:rsidR="00136D35">
        <w:rPr>
          <w:rFonts w:asciiTheme="majorHAnsi" w:eastAsiaTheme="majorEastAsia" w:hAnsiTheme="majorHAnsi" w:cstheme="majorBidi"/>
          <w:szCs w:val="32"/>
        </w:rPr>
        <w:t xml:space="preserve">von </w:t>
      </w:r>
      <w:r w:rsidR="00E341F0">
        <w:rPr>
          <w:rFonts w:asciiTheme="majorHAnsi" w:eastAsiaTheme="majorEastAsia" w:hAnsiTheme="majorHAnsi" w:cstheme="majorBidi"/>
          <w:szCs w:val="32"/>
        </w:rPr>
        <w:t xml:space="preserve">M5 bis 1/2 und bietet </w:t>
      </w:r>
      <w:r w:rsidR="00136D35">
        <w:rPr>
          <w:rFonts w:asciiTheme="majorHAnsi" w:eastAsiaTheme="majorEastAsia" w:hAnsiTheme="majorHAnsi" w:cstheme="majorBidi"/>
          <w:szCs w:val="32"/>
        </w:rPr>
        <w:t xml:space="preserve">zusammen </w:t>
      </w:r>
      <w:r w:rsidR="00E341F0">
        <w:rPr>
          <w:rFonts w:asciiTheme="majorHAnsi" w:eastAsiaTheme="majorEastAsia" w:hAnsiTheme="majorHAnsi" w:cstheme="majorBidi"/>
          <w:szCs w:val="32"/>
        </w:rPr>
        <w:t xml:space="preserve">mit den verwendbaren </w:t>
      </w:r>
      <w:r w:rsidR="00B1727A" w:rsidRPr="00B1727A">
        <w:rPr>
          <w:rFonts w:asciiTheme="majorHAnsi" w:eastAsiaTheme="majorEastAsia" w:hAnsiTheme="majorHAnsi" w:cstheme="majorBidi"/>
          <w:szCs w:val="32"/>
        </w:rPr>
        <w:t>Schlauchaußen</w:t>
      </w:r>
      <w:r w:rsidR="004F121F">
        <w:rPr>
          <w:rFonts w:asciiTheme="majorHAnsi" w:eastAsiaTheme="majorEastAsia" w:hAnsiTheme="majorHAnsi" w:cstheme="majorBidi"/>
          <w:szCs w:val="32"/>
        </w:rPr>
        <w:t>-</w:t>
      </w:r>
      <w:r w:rsidR="00B1727A" w:rsidRPr="00B1727A">
        <w:rPr>
          <w:rFonts w:asciiTheme="majorHAnsi" w:eastAsiaTheme="majorEastAsia" w:hAnsiTheme="majorHAnsi" w:cstheme="majorBidi"/>
          <w:szCs w:val="32"/>
        </w:rPr>
        <w:t xml:space="preserve">Ø 4 bis 12 mm </w:t>
      </w:r>
      <w:r w:rsidR="00136D35">
        <w:rPr>
          <w:rFonts w:asciiTheme="majorHAnsi" w:eastAsiaTheme="majorEastAsia" w:hAnsiTheme="majorHAnsi" w:cstheme="majorBidi"/>
          <w:szCs w:val="32"/>
        </w:rPr>
        <w:t xml:space="preserve">bzw. </w:t>
      </w:r>
      <w:r w:rsidR="00B1727A" w:rsidRPr="00B1727A">
        <w:rPr>
          <w:rFonts w:asciiTheme="majorHAnsi" w:eastAsiaTheme="majorEastAsia" w:hAnsiTheme="majorHAnsi" w:cstheme="majorBidi"/>
          <w:szCs w:val="32"/>
        </w:rPr>
        <w:t xml:space="preserve">5/32 bis </w:t>
      </w:r>
      <w:r w:rsidR="00136D35">
        <w:rPr>
          <w:rFonts w:asciiTheme="majorHAnsi" w:eastAsiaTheme="majorEastAsia" w:hAnsiTheme="majorHAnsi" w:cstheme="majorBidi"/>
          <w:szCs w:val="32"/>
        </w:rPr>
        <w:t>1/2 Zoll</w:t>
      </w:r>
      <w:r w:rsidR="00B1727A">
        <w:rPr>
          <w:rFonts w:asciiTheme="majorHAnsi" w:eastAsiaTheme="majorEastAsia" w:hAnsiTheme="majorHAnsi" w:cstheme="majorBidi"/>
          <w:szCs w:val="32"/>
        </w:rPr>
        <w:t xml:space="preserve"> gr</w:t>
      </w:r>
      <w:r w:rsidR="00136D35">
        <w:rPr>
          <w:rFonts w:asciiTheme="majorHAnsi" w:eastAsiaTheme="majorEastAsia" w:hAnsiTheme="majorHAnsi" w:cstheme="majorBidi"/>
          <w:szCs w:val="32"/>
        </w:rPr>
        <w:t>o</w:t>
      </w:r>
      <w:r w:rsidR="00B1727A">
        <w:rPr>
          <w:rFonts w:asciiTheme="majorHAnsi" w:eastAsiaTheme="majorEastAsia" w:hAnsiTheme="majorHAnsi" w:cstheme="majorBidi"/>
          <w:szCs w:val="32"/>
        </w:rPr>
        <w:t xml:space="preserve">ße Flexibilität und Vielseitigkeit </w:t>
      </w:r>
      <w:r w:rsidR="00136D35">
        <w:rPr>
          <w:rFonts w:asciiTheme="majorHAnsi" w:eastAsiaTheme="majorEastAsia" w:hAnsiTheme="majorHAnsi" w:cstheme="majorBidi"/>
          <w:szCs w:val="32"/>
        </w:rPr>
        <w:t>für</w:t>
      </w:r>
      <w:r w:rsidR="00B1727A">
        <w:rPr>
          <w:rFonts w:asciiTheme="majorHAnsi" w:eastAsiaTheme="majorEastAsia" w:hAnsiTheme="majorHAnsi" w:cstheme="majorBidi"/>
          <w:szCs w:val="32"/>
        </w:rPr>
        <w:t xml:space="preserve"> Konstruktion</w:t>
      </w:r>
      <w:r w:rsidR="00136D35">
        <w:rPr>
          <w:rFonts w:asciiTheme="majorHAnsi" w:eastAsiaTheme="majorEastAsia" w:hAnsiTheme="majorHAnsi" w:cstheme="majorBidi"/>
          <w:szCs w:val="32"/>
        </w:rPr>
        <w:t>en</w:t>
      </w:r>
      <w:r w:rsidR="00B1727A">
        <w:rPr>
          <w:rFonts w:asciiTheme="majorHAnsi" w:eastAsiaTheme="majorEastAsia" w:hAnsiTheme="majorHAnsi" w:cstheme="majorBidi"/>
          <w:szCs w:val="32"/>
        </w:rPr>
        <w:t>.</w:t>
      </w:r>
      <w:r w:rsidR="00EC443A">
        <w:rPr>
          <w:rFonts w:asciiTheme="majorHAnsi" w:eastAsiaTheme="majorEastAsia" w:hAnsiTheme="majorHAnsi" w:cstheme="majorBidi"/>
          <w:szCs w:val="32"/>
        </w:rPr>
        <w:t xml:space="preserve"> </w:t>
      </w:r>
      <w:r w:rsidR="0099274F" w:rsidRPr="0099274F">
        <w:rPr>
          <w:rFonts w:asciiTheme="majorHAnsi" w:eastAsiaTheme="majorEastAsia" w:hAnsiTheme="majorHAnsi" w:cstheme="majorBidi"/>
          <w:szCs w:val="32"/>
        </w:rPr>
        <w:t xml:space="preserve">Mit der </w:t>
      </w:r>
      <w:r w:rsidR="002657AC">
        <w:rPr>
          <w:rFonts w:asciiTheme="majorHAnsi" w:eastAsiaTheme="majorEastAsia" w:hAnsiTheme="majorHAnsi" w:cstheme="majorBidi"/>
          <w:szCs w:val="32"/>
        </w:rPr>
        <w:t>optional</w:t>
      </w:r>
      <w:r w:rsidR="0099274F" w:rsidRPr="0099274F">
        <w:rPr>
          <w:rFonts w:asciiTheme="majorHAnsi" w:eastAsiaTheme="majorEastAsia" w:hAnsiTheme="majorHAnsi" w:cstheme="majorBidi"/>
          <w:szCs w:val="32"/>
        </w:rPr>
        <w:t xml:space="preserve"> erhältlichen Schutzabdeckung wird </w:t>
      </w:r>
      <w:r w:rsidR="0022755F">
        <w:rPr>
          <w:rFonts w:asciiTheme="majorHAnsi" w:eastAsiaTheme="majorEastAsia" w:hAnsiTheme="majorHAnsi" w:cstheme="majorBidi"/>
          <w:szCs w:val="32"/>
        </w:rPr>
        <w:t xml:space="preserve">außerdem </w:t>
      </w:r>
      <w:r w:rsidR="00136D35">
        <w:rPr>
          <w:rFonts w:asciiTheme="majorHAnsi" w:eastAsiaTheme="majorEastAsia" w:hAnsiTheme="majorHAnsi" w:cstheme="majorBidi"/>
          <w:szCs w:val="32"/>
        </w:rPr>
        <w:t xml:space="preserve">das </w:t>
      </w:r>
      <w:r w:rsidR="0099274F" w:rsidRPr="0099274F">
        <w:rPr>
          <w:rFonts w:asciiTheme="majorHAnsi" w:eastAsiaTheme="majorEastAsia" w:hAnsiTheme="majorHAnsi" w:cstheme="majorBidi"/>
          <w:szCs w:val="32"/>
        </w:rPr>
        <w:t xml:space="preserve">Anhaften und Eindringen von Schweißspritzern verhindert. Diese passt sich </w:t>
      </w:r>
      <w:r w:rsidR="000F17C9">
        <w:rPr>
          <w:rFonts w:asciiTheme="majorHAnsi" w:eastAsiaTheme="majorEastAsia" w:hAnsiTheme="majorHAnsi" w:cstheme="majorBidi"/>
          <w:szCs w:val="32"/>
        </w:rPr>
        <w:t>durch den</w:t>
      </w:r>
      <w:r w:rsidR="0099274F" w:rsidRPr="0099274F">
        <w:rPr>
          <w:rFonts w:asciiTheme="majorHAnsi" w:eastAsiaTheme="majorEastAsia" w:hAnsiTheme="majorHAnsi" w:cstheme="majorBidi"/>
          <w:szCs w:val="32"/>
        </w:rPr>
        <w:t xml:space="preserve"> flexible</w:t>
      </w:r>
      <w:r w:rsidR="000F17C9">
        <w:rPr>
          <w:rFonts w:asciiTheme="majorHAnsi" w:eastAsiaTheme="majorEastAsia" w:hAnsiTheme="majorHAnsi" w:cstheme="majorBidi"/>
          <w:szCs w:val="32"/>
        </w:rPr>
        <w:t>n</w:t>
      </w:r>
      <w:r w:rsidR="0099274F" w:rsidRPr="0099274F">
        <w:rPr>
          <w:rFonts w:asciiTheme="majorHAnsi" w:eastAsiaTheme="majorEastAsia" w:hAnsiTheme="majorHAnsi" w:cstheme="majorBidi"/>
          <w:szCs w:val="32"/>
        </w:rPr>
        <w:t xml:space="preserve"> Kautschuk dem Ventil an und verhindert ein Lösen des Schlauches durch den konvexen Teil im Inneren der Schutzabdeckung.</w:t>
      </w:r>
      <w:r w:rsidR="000F17C9">
        <w:rPr>
          <w:rFonts w:asciiTheme="majorHAnsi" w:eastAsiaTheme="majorEastAsia" w:hAnsiTheme="majorHAnsi" w:cstheme="majorBidi"/>
          <w:szCs w:val="32"/>
        </w:rPr>
        <w:t xml:space="preserve"> </w:t>
      </w:r>
      <w:r w:rsidR="00136D35">
        <w:rPr>
          <w:rFonts w:asciiTheme="majorHAnsi" w:eastAsiaTheme="majorEastAsia" w:hAnsiTheme="majorHAnsi" w:cstheme="majorBidi"/>
          <w:szCs w:val="32"/>
        </w:rPr>
        <w:t>Dank der umfangreichen Variationsmöglichkeiten erhalten Anwender für</w:t>
      </w:r>
      <w:r w:rsidR="000F17C9">
        <w:rPr>
          <w:rFonts w:asciiTheme="majorHAnsi" w:eastAsiaTheme="majorEastAsia" w:hAnsiTheme="majorHAnsi" w:cstheme="majorBidi"/>
          <w:szCs w:val="32"/>
        </w:rPr>
        <w:t xml:space="preserve"> </w:t>
      </w:r>
      <w:r w:rsidR="00136D35">
        <w:rPr>
          <w:rFonts w:asciiTheme="majorHAnsi" w:eastAsiaTheme="majorEastAsia" w:hAnsiTheme="majorHAnsi" w:cstheme="majorBidi"/>
          <w:szCs w:val="32"/>
        </w:rPr>
        <w:t xml:space="preserve">den </w:t>
      </w:r>
      <w:r w:rsidR="000F17C9" w:rsidRPr="000F17C9">
        <w:rPr>
          <w:rFonts w:asciiTheme="majorHAnsi" w:eastAsiaTheme="majorEastAsia" w:hAnsiTheme="majorHAnsi" w:cstheme="majorBidi"/>
          <w:szCs w:val="32"/>
        </w:rPr>
        <w:t>Betriebsdruckbereich</w:t>
      </w:r>
      <w:r w:rsidR="000F17C9">
        <w:rPr>
          <w:rFonts w:asciiTheme="majorHAnsi" w:eastAsiaTheme="majorEastAsia" w:hAnsiTheme="majorHAnsi" w:cstheme="majorBidi"/>
          <w:szCs w:val="32"/>
        </w:rPr>
        <w:t xml:space="preserve"> von</w:t>
      </w:r>
      <w:r w:rsidR="000F17C9" w:rsidRPr="000F17C9">
        <w:rPr>
          <w:rFonts w:asciiTheme="majorHAnsi" w:eastAsiaTheme="majorEastAsia" w:hAnsiTheme="majorHAnsi" w:cstheme="majorBidi"/>
          <w:szCs w:val="32"/>
        </w:rPr>
        <w:t xml:space="preserve"> </w:t>
      </w:r>
      <w:r w:rsidR="00136D35">
        <w:rPr>
          <w:rFonts w:asciiTheme="majorHAnsi" w:eastAsiaTheme="majorEastAsia" w:hAnsiTheme="majorHAnsi" w:cstheme="majorBidi"/>
          <w:szCs w:val="32"/>
        </w:rPr>
        <w:t xml:space="preserve">min. </w:t>
      </w:r>
      <w:r w:rsidR="000F17C9" w:rsidRPr="000F17C9">
        <w:rPr>
          <w:rFonts w:asciiTheme="majorHAnsi" w:eastAsiaTheme="majorEastAsia" w:hAnsiTheme="majorHAnsi" w:cstheme="majorBidi"/>
          <w:szCs w:val="32"/>
        </w:rPr>
        <w:t xml:space="preserve">0,1 bis </w:t>
      </w:r>
      <w:r w:rsidR="00136D35">
        <w:rPr>
          <w:rFonts w:asciiTheme="majorHAnsi" w:eastAsiaTheme="majorEastAsia" w:hAnsiTheme="majorHAnsi" w:cstheme="majorBidi"/>
          <w:szCs w:val="32"/>
        </w:rPr>
        <w:t xml:space="preserve">max. </w:t>
      </w:r>
      <w:r w:rsidR="000F17C9" w:rsidRPr="000F17C9">
        <w:rPr>
          <w:rFonts w:asciiTheme="majorHAnsi" w:eastAsiaTheme="majorEastAsia" w:hAnsiTheme="majorHAnsi" w:cstheme="majorBidi"/>
          <w:szCs w:val="32"/>
        </w:rPr>
        <w:t>1 MPa</w:t>
      </w:r>
      <w:r w:rsidR="000F17C9">
        <w:rPr>
          <w:rFonts w:asciiTheme="majorHAnsi" w:eastAsiaTheme="majorEastAsia" w:hAnsiTheme="majorHAnsi" w:cstheme="majorBidi"/>
          <w:szCs w:val="32"/>
        </w:rPr>
        <w:t xml:space="preserve"> </w:t>
      </w:r>
      <w:r w:rsidR="00136D35">
        <w:rPr>
          <w:rFonts w:asciiTheme="majorHAnsi" w:eastAsiaTheme="majorEastAsia" w:hAnsiTheme="majorHAnsi" w:cstheme="majorBidi"/>
          <w:szCs w:val="32"/>
        </w:rPr>
        <w:t>und der Eignung für eine Umgebungs- und Medientemperatur von -5 bis 60 °C (kein Gefrieren)</w:t>
      </w:r>
      <w:r w:rsidR="00661990">
        <w:rPr>
          <w:rFonts w:asciiTheme="majorHAnsi" w:eastAsiaTheme="majorEastAsia" w:hAnsiTheme="majorHAnsi" w:cstheme="majorBidi"/>
          <w:szCs w:val="32"/>
        </w:rPr>
        <w:t xml:space="preserve"> eine optimale Lösung, um auch in rauen Umgebungen Teile präzise und wiederholgenau zu bewegen</w:t>
      </w:r>
      <w:r w:rsidR="000F17C9">
        <w:rPr>
          <w:rFonts w:asciiTheme="majorHAnsi" w:eastAsiaTheme="majorEastAsia" w:hAnsiTheme="majorHAnsi" w:cstheme="majorBidi"/>
          <w:szCs w:val="32"/>
        </w:rPr>
        <w:t xml:space="preserve">. </w:t>
      </w:r>
    </w:p>
    <w:p w14:paraId="6EAD4340" w14:textId="63CCD25F" w:rsidR="0099274F" w:rsidRPr="0099274F" w:rsidRDefault="0099274F" w:rsidP="0099274F">
      <w:pPr>
        <w:spacing w:line="360" w:lineRule="atLeast"/>
        <w:rPr>
          <w:rFonts w:asciiTheme="majorHAnsi" w:eastAsiaTheme="majorEastAsia" w:hAnsiTheme="majorHAnsi" w:cstheme="majorBidi"/>
          <w:szCs w:val="32"/>
        </w:rPr>
      </w:pPr>
      <w:r w:rsidRPr="0099274F">
        <w:rPr>
          <w:rFonts w:asciiTheme="majorHAnsi" w:eastAsiaTheme="majorEastAsia" w:hAnsiTheme="majorHAnsi" w:cstheme="majorBidi"/>
          <w:szCs w:val="32"/>
        </w:rPr>
        <w:t xml:space="preserve"> </w:t>
      </w:r>
    </w:p>
    <w:p w14:paraId="19FE41B2" w14:textId="77777777" w:rsidR="00B1727A" w:rsidRPr="00AE5F3B" w:rsidRDefault="00B1727A" w:rsidP="009002E3">
      <w:pPr>
        <w:spacing w:line="360" w:lineRule="atLeast"/>
        <w:rPr>
          <w:rFonts w:asciiTheme="majorHAnsi" w:eastAsiaTheme="majorEastAsia" w:hAnsiTheme="majorHAnsi" w:cstheme="majorBidi"/>
          <w:szCs w:val="32"/>
        </w:rPr>
      </w:pPr>
    </w:p>
    <w:p w14:paraId="221A8CF9" w14:textId="6EB242AD" w:rsidR="00296566" w:rsidRDefault="00F44043" w:rsidP="004B36C8">
      <w:pPr>
        <w:spacing w:line="360" w:lineRule="atLeast"/>
        <w:rPr>
          <w:rFonts w:asciiTheme="majorHAnsi" w:eastAsiaTheme="majorEastAsia" w:hAnsiTheme="majorHAnsi" w:cstheme="majorBidi"/>
          <w:b/>
          <w:szCs w:val="32"/>
        </w:rPr>
      </w:pPr>
      <w:r>
        <w:rPr>
          <w:rFonts w:asciiTheme="majorHAnsi" w:eastAsiaTheme="majorEastAsia" w:hAnsiTheme="majorHAnsi" w:cstheme="majorBidi"/>
          <w:b/>
          <w:noProof/>
          <w:szCs w:val="32"/>
        </w:rPr>
        <w:lastRenderedPageBreak/>
        <w:drawing>
          <wp:inline distT="0" distB="0" distL="0" distR="0" wp14:anchorId="47B4CD20" wp14:editId="5623C7F9">
            <wp:extent cx="2168423" cy="2320513"/>
            <wp:effectExtent l="0" t="0" r="381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stretch>
                      <a:fillRect/>
                    </a:stretch>
                  </pic:blipFill>
                  <pic:spPr>
                    <a:xfrm>
                      <a:off x="0" y="0"/>
                      <a:ext cx="2168423" cy="2320513"/>
                    </a:xfrm>
                    <a:prstGeom prst="rect">
                      <a:avLst/>
                    </a:prstGeom>
                  </pic:spPr>
                </pic:pic>
              </a:graphicData>
            </a:graphic>
          </wp:inline>
        </w:drawing>
      </w:r>
    </w:p>
    <w:p w14:paraId="59122554" w14:textId="7D5DC96E" w:rsidR="00724F24" w:rsidRPr="00174D55" w:rsidRDefault="00821E4E" w:rsidP="009F6A1E">
      <w:pPr>
        <w:spacing w:line="360" w:lineRule="atLeast"/>
      </w:pPr>
      <w:r w:rsidRPr="00B031F1">
        <w:rPr>
          <w:b/>
        </w:rPr>
        <w:t>Abbildung</w:t>
      </w:r>
      <w:r w:rsidR="00446713" w:rsidRPr="00B031F1">
        <w:rPr>
          <w:b/>
        </w:rPr>
        <w:t>:</w:t>
      </w:r>
      <w:r w:rsidRPr="00B031F1">
        <w:rPr>
          <w:bCs/>
        </w:rPr>
        <w:t xml:space="preserve"> </w:t>
      </w:r>
      <w:r w:rsidR="00CF0391">
        <w:rPr>
          <w:bCs/>
        </w:rPr>
        <w:t xml:space="preserve">Die </w:t>
      </w:r>
      <w:proofErr w:type="spellStart"/>
      <w:r w:rsidR="006105DA">
        <w:rPr>
          <w:bCs/>
        </w:rPr>
        <w:t>Meta</w:t>
      </w:r>
      <w:r w:rsidR="002657AC">
        <w:rPr>
          <w:bCs/>
        </w:rPr>
        <w:t>l</w:t>
      </w:r>
      <w:r w:rsidR="006105DA">
        <w:rPr>
          <w:bCs/>
        </w:rPr>
        <w:t>l-</w:t>
      </w:r>
      <w:r w:rsidR="006105DA" w:rsidRPr="006105DA">
        <w:rPr>
          <w:bCs/>
        </w:rPr>
        <w:t>Drosselrückschlagventil</w:t>
      </w:r>
      <w:r w:rsidR="008D2643">
        <w:rPr>
          <w:bCs/>
        </w:rPr>
        <w:t>e</w:t>
      </w:r>
      <w:proofErr w:type="spellEnd"/>
      <w:r w:rsidR="008D2643">
        <w:rPr>
          <w:bCs/>
        </w:rPr>
        <w:t xml:space="preserve"> der </w:t>
      </w:r>
      <w:r w:rsidR="006105DA" w:rsidRPr="006105DA">
        <w:rPr>
          <w:bCs/>
        </w:rPr>
        <w:t xml:space="preserve">Serie ASB-D </w:t>
      </w:r>
      <w:r w:rsidR="00CF0391">
        <w:rPr>
          <w:bCs/>
        </w:rPr>
        <w:t xml:space="preserve">von SMC </w:t>
      </w:r>
      <w:r w:rsidR="008D2643">
        <w:rPr>
          <w:bCs/>
        </w:rPr>
        <w:t>bieten</w:t>
      </w:r>
      <w:r w:rsidR="00CF0391">
        <w:rPr>
          <w:bCs/>
        </w:rPr>
        <w:t xml:space="preserve"> </w:t>
      </w:r>
      <w:r w:rsidR="0099493E">
        <w:rPr>
          <w:bCs/>
        </w:rPr>
        <w:t xml:space="preserve">dank </w:t>
      </w:r>
      <w:r w:rsidR="006105DA">
        <w:rPr>
          <w:bCs/>
        </w:rPr>
        <w:t>Sicherungsmutter für die Einstellnadel</w:t>
      </w:r>
      <w:r w:rsidR="0099493E">
        <w:rPr>
          <w:bCs/>
        </w:rPr>
        <w:t xml:space="preserve"> </w:t>
      </w:r>
      <w:r w:rsidR="008D2643">
        <w:rPr>
          <w:bCs/>
        </w:rPr>
        <w:t>Schutz vor unbeabsichtigter manueller oder durch Vibrationen oder Stößen verursachter Verstellung. D</w:t>
      </w:r>
      <w:r w:rsidR="0099493E">
        <w:rPr>
          <w:bCs/>
        </w:rPr>
        <w:t xml:space="preserve">urch das </w:t>
      </w:r>
      <w:r w:rsidR="00D66D78">
        <w:rPr>
          <w:bCs/>
        </w:rPr>
        <w:t xml:space="preserve">Vollmetallgehäuse </w:t>
      </w:r>
      <w:r w:rsidR="008D2643">
        <w:rPr>
          <w:bCs/>
        </w:rPr>
        <w:t xml:space="preserve">sind sie </w:t>
      </w:r>
      <w:r w:rsidR="00D66D78" w:rsidRPr="00D66D78">
        <w:t xml:space="preserve">auch </w:t>
      </w:r>
      <w:r w:rsidR="008D2643">
        <w:t>unter</w:t>
      </w:r>
      <w:r w:rsidR="008D2643" w:rsidRPr="00D66D78">
        <w:t xml:space="preserve"> </w:t>
      </w:r>
      <w:r w:rsidR="00D66D78" w:rsidRPr="00D66D78">
        <w:t xml:space="preserve">rauen </w:t>
      </w:r>
      <w:r w:rsidR="008D2643">
        <w:t>B</w:t>
      </w:r>
      <w:r w:rsidR="00D66D78" w:rsidRPr="00D66D78">
        <w:t>edingungen einsetzbar</w:t>
      </w:r>
      <w:r w:rsidR="0022755F">
        <w:t xml:space="preserve">. </w:t>
      </w:r>
    </w:p>
    <w:p w14:paraId="3476A343" w14:textId="47A222EF" w:rsidR="008B3F88" w:rsidRDefault="00446713" w:rsidP="008A5738">
      <w:pPr>
        <w:spacing w:after="120" w:line="360" w:lineRule="auto"/>
      </w:pPr>
      <w:r w:rsidRPr="002B1728">
        <w:t>Foto: SMC Deutschland GmbH</w:t>
      </w:r>
    </w:p>
    <w:p w14:paraId="4A42ACA8" w14:textId="37285297" w:rsidR="008B3F88" w:rsidRDefault="008B3F88" w:rsidP="00446713">
      <w:pPr>
        <w:spacing w:after="0" w:line="240" w:lineRule="auto"/>
      </w:pPr>
    </w:p>
    <w:p w14:paraId="6F9D2726" w14:textId="77777777" w:rsidR="00821E4E" w:rsidRDefault="00821E4E" w:rsidP="00446713">
      <w:pPr>
        <w:spacing w:after="0" w:line="240" w:lineRule="auto"/>
      </w:pPr>
    </w:p>
    <w:p w14:paraId="1FD1B81C" w14:textId="50A1F0BB" w:rsidR="00971EAB" w:rsidRDefault="00446713" w:rsidP="00446713">
      <w:pPr>
        <w:spacing w:after="0" w:line="240" w:lineRule="auto"/>
      </w:pPr>
      <w:r w:rsidRPr="00D26DA2">
        <w:t xml:space="preserve">Weitere Informationen finden Sie auf der SMC-Webseite unter </w:t>
      </w:r>
      <w:hyperlink r:id="rId9" w:history="1">
        <w:r w:rsidR="006D7F90">
          <w:rPr>
            <w:rStyle w:val="Hyperlink"/>
            <w:b/>
            <w:bCs/>
            <w:color w:val="3960A6"/>
          </w:rPr>
          <w:t>www.smc.de</w:t>
        </w:r>
      </w:hyperlink>
      <w:r>
        <w:t xml:space="preserve"> </w:t>
      </w:r>
    </w:p>
    <w:p w14:paraId="278F3AD7" w14:textId="77777777" w:rsidR="005D5501" w:rsidRDefault="005D5501" w:rsidP="00446713">
      <w:pPr>
        <w:spacing w:after="0" w:line="240" w:lineRule="auto"/>
      </w:pPr>
    </w:p>
    <w:p w14:paraId="7EAD6C0D" w14:textId="77777777" w:rsidR="00836318" w:rsidRPr="0062542D" w:rsidRDefault="00836318" w:rsidP="00836318">
      <w:pPr>
        <w:pStyle w:val="SMCUntertitel"/>
        <w:spacing w:after="120"/>
        <w:rPr>
          <w:b/>
        </w:rPr>
      </w:pPr>
      <w:r>
        <w:rPr>
          <w:b/>
        </w:rPr>
        <w:t>Über SMC Deutschland</w:t>
      </w:r>
    </w:p>
    <w:p w14:paraId="0B485A6D" w14:textId="43F4E64A" w:rsidR="00192AE6" w:rsidRDefault="00192AE6" w:rsidP="00192AE6">
      <w:pPr>
        <w:pStyle w:val="SMCPressetext"/>
      </w:pPr>
      <w:r>
        <w:t>Führender Hersteller, Partner und Lösungsanbieter für pneumatische und elektrische Automati­sierungstechnik – die SMC Deutschland GmbH bietet seit mehr als 40 Jahren ein umfassendes Produktspektrum vom Ventil bis zum Temperiergerät mit mittlerweile mehr als 12.000 Basismodellen und über 700.000 Varianten für unterschiedlichste Industriebranchen. Die innovativen Automatisierungslösungen des Unternehmens mit Sitz in Egelsbach bei Frankfurt am Main finden sich unter anderem im Automobil- und Werkzeugmaschinenbau, in der Automationstechnik, der Elektronik und der Robotik sowie in der Lebensmittel- und Verpackungsindustrie wie auch in den Bereichen Life Science und Medizintechnik. SMC erwirtschaftete im Geschäftsjahr 2021/22 einen Umsatz von 185 Millionen Euro und beschäftigt bundesweit 735 Mitarbeiterinnen und Mitarbeiter. Darüber hinaus steht allen Kunden ein flächendeckendes, kompetentes Service- und Vertriebsnetzwerk zur Seite. Zudem forciert SMC das Thema Nachhaltigkeit in einem breiten Kontext aus Umwelt- und Klimaschutz, Gesundheitsfürsorge und Mitarbeiterförderung sowie gesellschaftlichem Engagement: von Produkten und Services über innerbetriebliche Maßnahmen bis hin zu Projekten für die Gemeinde.</w:t>
      </w:r>
    </w:p>
    <w:p w14:paraId="31721837" w14:textId="3390F2C7" w:rsidR="00192AE6" w:rsidRDefault="00192AE6" w:rsidP="00192AE6">
      <w:pPr>
        <w:pStyle w:val="SMCPressetext"/>
      </w:pPr>
      <w:r>
        <w:lastRenderedPageBreak/>
        <w:t>Die SMC Deutschland GmbH gehört zur 1959 in Japan gegründeten SMC Corporation, die in 83 Ländern weltweit mit 31 Produktionsstätten vertreten ist. Der Weltmarktführer für pneumatische Automatisierungstechnik mit einem Marktanteil von 39 Prozent erzielte im Geschäftsjahr 2021/22 einen Umsatz von rund 5,6 Milliarden Euro und beschäftigt global 21.620 Mitarbeiterinnen und Mitarbeiter.</w:t>
      </w:r>
    </w:p>
    <w:sectPr w:rsidR="00192AE6" w:rsidSect="005E0A21">
      <w:headerReference w:type="default" r:id="rId10"/>
      <w:footerReference w:type="default" r:id="rId11"/>
      <w:headerReference w:type="first" r:id="rId12"/>
      <w:footerReference w:type="first" r:id="rId13"/>
      <w:pgSz w:w="11906" w:h="16838" w:code="9"/>
      <w:pgMar w:top="-2268" w:right="1418" w:bottom="-1701"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AE4F4" w14:textId="77777777" w:rsidR="000C37D5" w:rsidRDefault="000C37D5" w:rsidP="00890E0F">
      <w:pPr>
        <w:spacing w:after="0" w:line="240" w:lineRule="auto"/>
      </w:pPr>
      <w:r>
        <w:separator/>
      </w:r>
    </w:p>
  </w:endnote>
  <w:endnote w:type="continuationSeparator" w:id="0">
    <w:p w14:paraId="4B68C13D" w14:textId="77777777" w:rsidR="000C37D5" w:rsidRDefault="000C37D5" w:rsidP="00890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kko Rounded Pro Medium">
    <w:altName w:val="Calibri"/>
    <w:panose1 w:val="00000000000000000000"/>
    <w:charset w:val="00"/>
    <w:family w:val="swiss"/>
    <w:notTrueType/>
    <w:pitch w:val="variable"/>
    <w:sig w:usb0="00000007" w:usb1="10000003"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kko Pro Medium">
    <w:altName w:val="Frutiger Next Pro Medium"/>
    <w:panose1 w:val="00000000000000000000"/>
    <w:charset w:val="00"/>
    <w:family w:val="swiss"/>
    <w:notTrueType/>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 w:name="Myriad Pro">
    <w:altName w:val="﷽﷽﷽﷽﷽﷽﷽﷽icode MS"/>
    <w:panose1 w:val="00000000000000000000"/>
    <w:charset w:val="00"/>
    <w:family w:val="swiss"/>
    <w:notTrueType/>
    <w:pitch w:val="variable"/>
    <w:sig w:usb0="00000001" w:usb1="5000204B" w:usb2="00000000" w:usb3="00000000" w:csb0="0000019F" w:csb1="00000000"/>
  </w:font>
  <w:font w:name="Courier">
    <w:panose1 w:val="02070409020205020404"/>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37743" w14:textId="77777777" w:rsidR="00325699" w:rsidRPr="00CC2B85" w:rsidRDefault="00325699" w:rsidP="00BE6B50">
    <w:pPr>
      <w:pStyle w:val="SMCBriefSeitenzahl"/>
    </w:pPr>
    <w:r>
      <w:tab/>
    </w:r>
    <w:r w:rsidRPr="00CC2B85">
      <w:t xml:space="preserve">Seite </w:t>
    </w:r>
    <w:r w:rsidRPr="00CC2B85">
      <w:fldChar w:fldCharType="begin"/>
    </w:r>
    <w:r w:rsidRPr="00CC2B85">
      <w:instrText>PAGE  \* Arabic  \* MERGEFORMAT</w:instrText>
    </w:r>
    <w:r w:rsidRPr="00CC2B85">
      <w:fldChar w:fldCharType="separate"/>
    </w:r>
    <w:r>
      <w:t>2</w:t>
    </w:r>
    <w:r w:rsidRPr="00CC2B85">
      <w:fldChar w:fldCharType="end"/>
    </w:r>
    <w:r w:rsidRPr="00CC2B85">
      <w:t xml:space="preserve"> von </w:t>
    </w:r>
    <w:r w:rsidR="00365034">
      <w:fldChar w:fldCharType="begin"/>
    </w:r>
    <w:r w:rsidR="00365034">
      <w:instrText>NUMPAGES  \* Arabic  \* MERGEFORMAT</w:instrText>
    </w:r>
    <w:r w:rsidR="00365034">
      <w:fldChar w:fldCharType="separate"/>
    </w:r>
    <w:r>
      <w:t>3</w:t>
    </w:r>
    <w:r w:rsidR="0036503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MCTabelle-ohne-Rahmen"/>
      <w:tblW w:w="9923" w:type="dxa"/>
      <w:tblLayout w:type="fixed"/>
      <w:tblLook w:val="04A0" w:firstRow="1" w:lastRow="0" w:firstColumn="1" w:lastColumn="0" w:noHBand="0" w:noVBand="1"/>
    </w:tblPr>
    <w:tblGrid>
      <w:gridCol w:w="2268"/>
      <w:gridCol w:w="2977"/>
      <w:gridCol w:w="1843"/>
      <w:gridCol w:w="2835"/>
    </w:tblGrid>
    <w:tr w:rsidR="00325699" w14:paraId="11E5634D" w14:textId="77777777" w:rsidTr="005C7C62">
      <w:tc>
        <w:tcPr>
          <w:tcW w:w="2268" w:type="dxa"/>
          <w:tcBorders>
            <w:top w:val="single" w:sz="4" w:space="0" w:color="2A60AA" w:themeColor="accent1"/>
          </w:tcBorders>
        </w:tcPr>
        <w:p w14:paraId="65C37488" w14:textId="77777777" w:rsidR="00325699" w:rsidRPr="00CB624B" w:rsidRDefault="00325699" w:rsidP="00CB624B">
          <w:pPr>
            <w:pStyle w:val="SMCBriefFenster"/>
            <w:rPr>
              <w:rStyle w:val="Fett"/>
            </w:rPr>
          </w:pPr>
        </w:p>
      </w:tc>
      <w:tc>
        <w:tcPr>
          <w:tcW w:w="2977" w:type="dxa"/>
          <w:tcBorders>
            <w:top w:val="single" w:sz="4" w:space="0" w:color="2A60AA" w:themeColor="accent1"/>
          </w:tcBorders>
        </w:tcPr>
        <w:p w14:paraId="165A6671" w14:textId="77777777" w:rsidR="00325699" w:rsidRDefault="00325699" w:rsidP="00CB624B">
          <w:pPr>
            <w:pStyle w:val="SMCBriefFenster"/>
          </w:pPr>
        </w:p>
      </w:tc>
      <w:tc>
        <w:tcPr>
          <w:tcW w:w="1843" w:type="dxa"/>
          <w:tcBorders>
            <w:top w:val="single" w:sz="4" w:space="0" w:color="2A60AA" w:themeColor="accent1"/>
          </w:tcBorders>
        </w:tcPr>
        <w:p w14:paraId="2518B925" w14:textId="77777777" w:rsidR="00325699" w:rsidRDefault="00325699" w:rsidP="00CB624B">
          <w:pPr>
            <w:pStyle w:val="SMCBriefFenster"/>
          </w:pPr>
        </w:p>
      </w:tc>
      <w:tc>
        <w:tcPr>
          <w:tcW w:w="2835" w:type="dxa"/>
          <w:tcBorders>
            <w:top w:val="single" w:sz="4" w:space="0" w:color="2A60AA" w:themeColor="accent1"/>
          </w:tcBorders>
        </w:tcPr>
        <w:p w14:paraId="40838DD8" w14:textId="77777777" w:rsidR="00325699" w:rsidRDefault="00325699" w:rsidP="00CB624B">
          <w:pPr>
            <w:pStyle w:val="SMCBriefFenster"/>
          </w:pPr>
        </w:p>
      </w:tc>
    </w:tr>
    <w:tr w:rsidR="00325699" w14:paraId="22539476" w14:textId="77777777" w:rsidTr="005C7C62">
      <w:tc>
        <w:tcPr>
          <w:tcW w:w="2268" w:type="dxa"/>
        </w:tcPr>
        <w:p w14:paraId="281F2D8F" w14:textId="77777777" w:rsidR="00325699" w:rsidRPr="00CB624B" w:rsidRDefault="00325699" w:rsidP="00CB624B">
          <w:pPr>
            <w:pStyle w:val="SMCBriefFenster"/>
            <w:rPr>
              <w:rStyle w:val="Fett"/>
            </w:rPr>
          </w:pPr>
          <w:r w:rsidRPr="00CB624B">
            <w:rPr>
              <w:rStyle w:val="Fett"/>
            </w:rPr>
            <w:t>SMC Deutschland GmbH</w:t>
          </w:r>
        </w:p>
        <w:p w14:paraId="4F237D59" w14:textId="77777777" w:rsidR="00325699" w:rsidRDefault="00325699" w:rsidP="00CB624B">
          <w:pPr>
            <w:pStyle w:val="SMCBriefFenster"/>
          </w:pPr>
          <w:r>
            <w:t>Boschring 13-15</w:t>
          </w:r>
        </w:p>
        <w:p w14:paraId="1F8C943A" w14:textId="77777777" w:rsidR="00325699" w:rsidRDefault="00325699" w:rsidP="00CB624B">
          <w:pPr>
            <w:pStyle w:val="SMCBriefFenster"/>
          </w:pPr>
          <w:r>
            <w:t>63329 Egelsbach</w:t>
          </w:r>
        </w:p>
      </w:tc>
      <w:tc>
        <w:tcPr>
          <w:tcW w:w="2977" w:type="dxa"/>
        </w:tcPr>
        <w:p w14:paraId="6F1F4730" w14:textId="77777777" w:rsidR="00325699" w:rsidRPr="00534D83" w:rsidRDefault="00325699" w:rsidP="009733EE">
          <w:pPr>
            <w:pStyle w:val="SMCBriefFenster"/>
            <w:rPr>
              <w:lang w:val="fr-CH"/>
            </w:rPr>
          </w:pPr>
          <w:r w:rsidRPr="00534D83">
            <w:rPr>
              <w:lang w:val="fr-CH"/>
            </w:rPr>
            <w:t>Brigitte Martinez Méndez</w:t>
          </w:r>
        </w:p>
        <w:p w14:paraId="1DFAFFA4" w14:textId="77777777" w:rsidR="00325699" w:rsidRPr="00534D83" w:rsidRDefault="00325699" w:rsidP="009733EE">
          <w:pPr>
            <w:pStyle w:val="SMCBriefFenster"/>
            <w:rPr>
              <w:lang w:val="fr-CH"/>
            </w:rPr>
          </w:pPr>
          <w:r w:rsidRPr="00534D83">
            <w:rPr>
              <w:lang w:val="fr-CH"/>
            </w:rPr>
            <w:t>Tel. +49 (0) 6103 402-278</w:t>
          </w:r>
        </w:p>
        <w:p w14:paraId="412DEC27" w14:textId="77777777" w:rsidR="00325699" w:rsidRPr="00534D83" w:rsidRDefault="00325699" w:rsidP="009733EE">
          <w:pPr>
            <w:pStyle w:val="SMCBriefFenster"/>
            <w:rPr>
              <w:lang w:val="fr-CH"/>
            </w:rPr>
          </w:pPr>
          <w:r w:rsidRPr="00534D83">
            <w:rPr>
              <w:lang w:val="fr-CH"/>
            </w:rPr>
            <w:t>martinez-mendez.brigitte@smc.de</w:t>
          </w:r>
        </w:p>
      </w:tc>
      <w:tc>
        <w:tcPr>
          <w:tcW w:w="1843" w:type="dxa"/>
        </w:tcPr>
        <w:p w14:paraId="19C96924" w14:textId="77777777" w:rsidR="00325699" w:rsidRDefault="00325699" w:rsidP="00A27E21">
          <w:pPr>
            <w:pStyle w:val="SMCBriefFenster"/>
          </w:pPr>
          <w:r>
            <w:t>www.smc.de</w:t>
          </w:r>
        </w:p>
      </w:tc>
      <w:tc>
        <w:tcPr>
          <w:tcW w:w="2835" w:type="dxa"/>
        </w:tcPr>
        <w:p w14:paraId="5ED33CCE" w14:textId="77777777" w:rsidR="00325699" w:rsidRPr="009C2840" w:rsidRDefault="00325699" w:rsidP="00A07EC4">
          <w:pPr>
            <w:pStyle w:val="SMCBriefSeitenzahl"/>
            <w:spacing w:after="0"/>
            <w:jc w:val="right"/>
            <w:rPr>
              <w:sz w:val="14"/>
              <w:szCs w:val="14"/>
            </w:rPr>
          </w:pPr>
          <w:r w:rsidRPr="009C2840">
            <w:rPr>
              <w:sz w:val="14"/>
              <w:szCs w:val="14"/>
            </w:rPr>
            <w:t xml:space="preserve">Seite </w:t>
          </w:r>
          <w:r w:rsidRPr="009C2840">
            <w:rPr>
              <w:sz w:val="14"/>
              <w:szCs w:val="14"/>
            </w:rPr>
            <w:fldChar w:fldCharType="begin"/>
          </w:r>
          <w:r w:rsidRPr="009C2840">
            <w:rPr>
              <w:sz w:val="14"/>
              <w:szCs w:val="14"/>
            </w:rPr>
            <w:instrText>PAGE  \* Arabic  \* MERGEFORMAT</w:instrText>
          </w:r>
          <w:r w:rsidRPr="009C2840">
            <w:rPr>
              <w:sz w:val="14"/>
              <w:szCs w:val="14"/>
            </w:rPr>
            <w:fldChar w:fldCharType="separate"/>
          </w:r>
          <w:r>
            <w:rPr>
              <w:sz w:val="14"/>
              <w:szCs w:val="14"/>
            </w:rPr>
            <w:t>1</w:t>
          </w:r>
          <w:r w:rsidRPr="009C2840">
            <w:rPr>
              <w:sz w:val="14"/>
              <w:szCs w:val="14"/>
            </w:rPr>
            <w:fldChar w:fldCharType="end"/>
          </w:r>
          <w:r w:rsidRPr="009C2840">
            <w:rPr>
              <w:sz w:val="14"/>
              <w:szCs w:val="14"/>
            </w:rPr>
            <w:t xml:space="preserve"> von </w:t>
          </w:r>
          <w:r w:rsidRPr="009C2840">
            <w:rPr>
              <w:sz w:val="14"/>
              <w:szCs w:val="14"/>
            </w:rPr>
            <w:fldChar w:fldCharType="begin"/>
          </w:r>
          <w:r w:rsidRPr="009C2840">
            <w:rPr>
              <w:sz w:val="14"/>
              <w:szCs w:val="14"/>
            </w:rPr>
            <w:instrText>NUMPAGES  \* Arabic  \* MERGEFORMAT</w:instrText>
          </w:r>
          <w:r w:rsidRPr="009C2840">
            <w:rPr>
              <w:sz w:val="14"/>
              <w:szCs w:val="14"/>
            </w:rPr>
            <w:fldChar w:fldCharType="separate"/>
          </w:r>
          <w:r>
            <w:rPr>
              <w:sz w:val="14"/>
              <w:szCs w:val="14"/>
            </w:rPr>
            <w:t>3</w:t>
          </w:r>
          <w:r w:rsidRPr="009C2840">
            <w:rPr>
              <w:sz w:val="14"/>
              <w:szCs w:val="14"/>
            </w:rPr>
            <w:fldChar w:fldCharType="end"/>
          </w:r>
        </w:p>
        <w:p w14:paraId="68D0838D" w14:textId="77777777" w:rsidR="00325699" w:rsidRDefault="00325699" w:rsidP="00CB624B">
          <w:pPr>
            <w:pStyle w:val="SMCBriefFenster"/>
          </w:pPr>
        </w:p>
      </w:tc>
    </w:tr>
  </w:tbl>
  <w:p w14:paraId="7B733D58" w14:textId="77777777" w:rsidR="00325699" w:rsidRDefault="00325699" w:rsidP="00D73044">
    <w:pPr>
      <w:pStyle w:val="SMCUnsichtbar"/>
    </w:pPr>
  </w:p>
  <w:p w14:paraId="0F0547F1" w14:textId="77777777" w:rsidR="00325699" w:rsidRDefault="00325699" w:rsidP="00D73044">
    <w:pPr>
      <w:pStyle w:val="SMCUnsichtbar"/>
    </w:pPr>
  </w:p>
  <w:p w14:paraId="58A59C7A" w14:textId="77777777" w:rsidR="00325699" w:rsidRDefault="00325699" w:rsidP="00D73044">
    <w:pPr>
      <w:pStyle w:val="SMCUnsichtbar"/>
    </w:pPr>
  </w:p>
  <w:p w14:paraId="6470C970" w14:textId="77777777" w:rsidR="00325699" w:rsidRDefault="00325699" w:rsidP="00D73044">
    <w:pPr>
      <w:pStyle w:val="SMCUnsichtbar"/>
    </w:pPr>
  </w:p>
  <w:p w14:paraId="55ECB4B6" w14:textId="77777777" w:rsidR="00325699" w:rsidRDefault="00325699" w:rsidP="00D73044">
    <w:pPr>
      <w:pStyle w:val="SMCUnsichtbar"/>
    </w:pPr>
  </w:p>
  <w:p w14:paraId="74DDA0F3" w14:textId="77777777" w:rsidR="00325699" w:rsidRDefault="00325699" w:rsidP="00D73044">
    <w:pPr>
      <w:pStyle w:val="SMCUnsichtbar"/>
    </w:pPr>
  </w:p>
  <w:p w14:paraId="75748DA0" w14:textId="77777777" w:rsidR="00325699" w:rsidRDefault="00325699" w:rsidP="00D73044">
    <w:pPr>
      <w:pStyle w:val="SMCUnsichtbar"/>
    </w:pPr>
  </w:p>
  <w:p w14:paraId="136A1D00" w14:textId="77777777" w:rsidR="00325699" w:rsidRDefault="00325699" w:rsidP="00D73044">
    <w:pPr>
      <w:pStyle w:val="SMCUnsichtbar"/>
    </w:pPr>
  </w:p>
  <w:p w14:paraId="68E755CD" w14:textId="77777777" w:rsidR="00325699" w:rsidRDefault="00325699" w:rsidP="00D73044">
    <w:pPr>
      <w:pStyle w:val="SMCUnsichtbar"/>
    </w:pPr>
  </w:p>
  <w:p w14:paraId="0DD37A49" w14:textId="77777777" w:rsidR="00325699" w:rsidRDefault="00325699" w:rsidP="00D73044">
    <w:pPr>
      <w:pStyle w:val="SMCUnsichtbar"/>
    </w:pPr>
  </w:p>
  <w:p w14:paraId="0506E9B6" w14:textId="77777777" w:rsidR="00325699" w:rsidRDefault="00325699" w:rsidP="00D73044">
    <w:pPr>
      <w:pStyle w:val="SMCUnsichtbar"/>
    </w:pPr>
  </w:p>
  <w:p w14:paraId="75409E84" w14:textId="77777777" w:rsidR="00325699" w:rsidRDefault="00325699" w:rsidP="00D73044">
    <w:pPr>
      <w:pStyle w:val="SMCUnsichtbar"/>
    </w:pPr>
  </w:p>
  <w:p w14:paraId="4B0E1F05" w14:textId="77777777" w:rsidR="00325699" w:rsidRDefault="00325699" w:rsidP="00D73044">
    <w:pPr>
      <w:pStyle w:val="SMCUnsichtbar"/>
    </w:pPr>
  </w:p>
  <w:p w14:paraId="77C8E066" w14:textId="77777777" w:rsidR="00325699" w:rsidRDefault="00325699" w:rsidP="00D73044">
    <w:pPr>
      <w:pStyle w:val="SMCUnsichtbar"/>
    </w:pPr>
  </w:p>
  <w:p w14:paraId="7055A43C" w14:textId="77777777" w:rsidR="00325699" w:rsidRDefault="00325699" w:rsidP="00D73044">
    <w:pPr>
      <w:pStyle w:val="SMCUnsichtba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F624B" w14:textId="77777777" w:rsidR="000C37D5" w:rsidRDefault="000C37D5" w:rsidP="00890E0F">
      <w:pPr>
        <w:spacing w:after="0" w:line="240" w:lineRule="auto"/>
      </w:pPr>
      <w:r>
        <w:separator/>
      </w:r>
    </w:p>
  </w:footnote>
  <w:footnote w:type="continuationSeparator" w:id="0">
    <w:p w14:paraId="564C4F98" w14:textId="77777777" w:rsidR="000C37D5" w:rsidRDefault="000C37D5" w:rsidP="00890E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54ED" w14:textId="77777777" w:rsidR="00325699" w:rsidRDefault="00325699" w:rsidP="00D9355D">
    <w:pPr>
      <w:pStyle w:val="SMCUnsichtbar"/>
    </w:pPr>
    <w:r>
      <w:rPr>
        <w:noProof/>
        <w:lang w:val="en-US" w:eastAsia="ja-JP"/>
      </w:rPr>
      <w:drawing>
        <wp:anchor distT="0" distB="0" distL="114300" distR="114300" simplePos="0" relativeHeight="251684864" behindDoc="0" locked="0" layoutInCell="1" allowOverlap="1" wp14:anchorId="3084FC2D" wp14:editId="78CB17E5">
          <wp:simplePos x="0" y="0"/>
          <wp:positionH relativeFrom="page">
            <wp:posOffset>180340</wp:posOffset>
          </wp:positionH>
          <wp:positionV relativeFrom="paragraph">
            <wp:posOffset>180340</wp:posOffset>
          </wp:positionV>
          <wp:extent cx="1594800" cy="464400"/>
          <wp:effectExtent l="0" t="0" r="5715" b="0"/>
          <wp:wrapNone/>
          <wp:docPr id="31"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09_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4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SMCTabelle-ohne-Rahmen"/>
      <w:tblW w:w="9923" w:type="dxa"/>
      <w:tblLook w:val="04A0" w:firstRow="1" w:lastRow="0" w:firstColumn="1" w:lastColumn="0" w:noHBand="0" w:noVBand="1"/>
    </w:tblPr>
    <w:tblGrid>
      <w:gridCol w:w="6804"/>
      <w:gridCol w:w="3119"/>
    </w:tblGrid>
    <w:tr w:rsidR="00325699" w14:paraId="2F7C49C0" w14:textId="77777777" w:rsidTr="00163A92">
      <w:trPr>
        <w:trHeight w:hRule="exact" w:val="2336"/>
      </w:trPr>
      <w:tc>
        <w:tcPr>
          <w:tcW w:w="6804" w:type="dxa"/>
        </w:tcPr>
        <w:p w14:paraId="765277D4" w14:textId="77777777" w:rsidR="00325699" w:rsidRDefault="00325699" w:rsidP="003D0B72">
          <w:r>
            <w:rPr>
              <w:noProof/>
              <w:lang w:val="en-US" w:eastAsia="ja-JP"/>
            </w:rPr>
            <w:drawing>
              <wp:anchor distT="0" distB="0" distL="114300" distR="114300" simplePos="0" relativeHeight="251682816" behindDoc="0" locked="0" layoutInCell="1" allowOverlap="1" wp14:anchorId="2260AC52" wp14:editId="71BF90A4">
                <wp:simplePos x="0" y="0"/>
                <wp:positionH relativeFrom="page">
                  <wp:posOffset>-720090</wp:posOffset>
                </wp:positionH>
                <wp:positionV relativeFrom="paragraph">
                  <wp:posOffset>180340</wp:posOffset>
                </wp:positionV>
                <wp:extent cx="7200000" cy="670830"/>
                <wp:effectExtent l="0" t="0" r="1270" b="0"/>
                <wp:wrapNone/>
                <wp:docPr id="192"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1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670830"/>
                        </a:xfrm>
                        <a:prstGeom prst="rect">
                          <a:avLst/>
                        </a:prstGeom>
                      </pic:spPr>
                    </pic:pic>
                  </a:graphicData>
                </a:graphic>
                <wp14:sizeRelH relativeFrom="margin">
                  <wp14:pctWidth>0</wp14:pctWidth>
                </wp14:sizeRelH>
                <wp14:sizeRelV relativeFrom="margin">
                  <wp14:pctHeight>0</wp14:pctHeight>
                </wp14:sizeRelV>
              </wp:anchor>
            </w:drawing>
          </w:r>
        </w:p>
      </w:tc>
      <w:tc>
        <w:tcPr>
          <w:tcW w:w="3119" w:type="dxa"/>
        </w:tcPr>
        <w:p w14:paraId="54CBF4D4" w14:textId="77777777" w:rsidR="00325699" w:rsidRDefault="00325699" w:rsidP="003D0B72"/>
      </w:tc>
    </w:tr>
  </w:tbl>
  <w:p w14:paraId="4E261155" w14:textId="77777777" w:rsidR="00325699" w:rsidRDefault="00325699" w:rsidP="00D9355D">
    <w:pPr>
      <w:pStyle w:val="SMCUnsichtba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4CF9"/>
    <w:multiLevelType w:val="hybridMultilevel"/>
    <w:tmpl w:val="4EEABA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B72157"/>
    <w:multiLevelType w:val="multilevel"/>
    <w:tmpl w:val="49AA8E44"/>
    <w:styleLink w:val="SMCListeEinzgeAufzhlungen"/>
    <w:lvl w:ilvl="0">
      <w:start w:val="1"/>
      <w:numFmt w:val="none"/>
      <w:pStyle w:val="SMCEinzugAufz1"/>
      <w:suff w:val="nothing"/>
      <w:lvlText w:val=""/>
      <w:lvlJc w:val="left"/>
      <w:pPr>
        <w:ind w:left="340" w:firstLine="0"/>
      </w:pPr>
      <w:rPr>
        <w:rFonts w:hint="default"/>
      </w:rPr>
    </w:lvl>
    <w:lvl w:ilvl="1">
      <w:start w:val="1"/>
      <w:numFmt w:val="none"/>
      <w:pStyle w:val="SMCEinzugAufz2"/>
      <w:suff w:val="nothing"/>
      <w:lvlText w:val=""/>
      <w:lvlJc w:val="left"/>
      <w:pPr>
        <w:ind w:left="680" w:firstLine="0"/>
      </w:pPr>
      <w:rPr>
        <w:rFonts w:hint="default"/>
      </w:rPr>
    </w:lvl>
    <w:lvl w:ilvl="2">
      <w:start w:val="1"/>
      <w:numFmt w:val="none"/>
      <w:pStyle w:val="SMCEinzugAufz3"/>
      <w:suff w:val="nothing"/>
      <w:lvlText w:val=""/>
      <w:lvlJc w:val="left"/>
      <w:pPr>
        <w:ind w:left="102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 w15:restartNumberingAfterBreak="0">
    <w:nsid w:val="066C1161"/>
    <w:multiLevelType w:val="hybridMultilevel"/>
    <w:tmpl w:val="999454B4"/>
    <w:lvl w:ilvl="0" w:tplc="FFFFFFFF">
      <w:start w:val="1"/>
      <w:numFmt w:val="bullet"/>
      <w:lvlText w:val=""/>
      <w:lvlJc w:val="left"/>
      <w:pPr>
        <w:tabs>
          <w:tab w:val="num" w:pos="720"/>
        </w:tabs>
        <w:ind w:left="720" w:hanging="360"/>
      </w:pPr>
      <w:rPr>
        <w:rFonts w:ascii="Wingdings" w:hAnsi="Wingdings"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Arial" w:eastAsia="Times New Roman" w:hAnsi="Arial" w:cs="Arial" w:hint="default"/>
      </w:rPr>
    </w:lvl>
    <w:lvl w:ilvl="3" w:tplc="FFFFFFFF">
      <w:numFmt w:val="bullet"/>
      <w:lvlText w:val=""/>
      <w:lvlJc w:val="left"/>
      <w:pPr>
        <w:tabs>
          <w:tab w:val="num" w:pos="2880"/>
        </w:tabs>
        <w:ind w:left="2880" w:hanging="360"/>
      </w:pPr>
      <w:rPr>
        <w:rFonts w:ascii="Symbol" w:eastAsia="Times New Roman" w:hAnsi="Symbol" w:cs="Arial" w:hint="default"/>
        <w:b/>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82A34"/>
    <w:multiLevelType w:val="multilevel"/>
    <w:tmpl w:val="15BC42D0"/>
    <w:styleLink w:val="SMCListeKastengrau"/>
    <w:lvl w:ilvl="0">
      <w:start w:val="1"/>
      <w:numFmt w:val="bullet"/>
      <w:pStyle w:val="SMCKastengrauAufzhlung1"/>
      <w:lvlText w:val=""/>
      <w:lvlJc w:val="left"/>
      <w:pPr>
        <w:ind w:left="567" w:hanging="283"/>
      </w:pPr>
      <w:rPr>
        <w:rFonts w:ascii="Symbol" w:hAnsi="Symbol" w:hint="default"/>
        <w:color w:val="FFFFFF" w:themeColor="background1"/>
        <w:sz w:val="20"/>
      </w:rPr>
    </w:lvl>
    <w:lvl w:ilvl="1">
      <w:start w:val="1"/>
      <w:numFmt w:val="bullet"/>
      <w:pStyle w:val="SMCKastengrauStatement"/>
      <w:lvlText w:val="&gt;"/>
      <w:lvlJc w:val="left"/>
      <w:pPr>
        <w:ind w:left="567" w:hanging="283"/>
      </w:pPr>
      <w:rPr>
        <w:rFonts w:ascii="Arial" w:hAnsi="Arial" w:hint="default"/>
        <w:b/>
        <w:i w:val="0"/>
        <w:color w:val="FFFFFF" w:themeColor="background1"/>
        <w:sz w:val="22"/>
      </w:rPr>
    </w:lvl>
    <w:lvl w:ilvl="2">
      <w:start w:val="1"/>
      <w:numFmt w:val="none"/>
      <w:pStyle w:val="SMCKastengrauAufzhlung3"/>
      <w:lvlText w:val=""/>
      <w:lvlJc w:val="left"/>
      <w:pPr>
        <w:ind w:left="567" w:hanging="283"/>
      </w:pPr>
      <w:rPr>
        <w:rFonts w:hint="default"/>
        <w:sz w:val="20"/>
      </w:rPr>
    </w:lvl>
    <w:lvl w:ilvl="3">
      <w:start w:val="1"/>
      <w:numFmt w:val="none"/>
      <w:lvlText w:val=""/>
      <w:lvlJc w:val="left"/>
      <w:pPr>
        <w:ind w:left="567" w:hanging="283"/>
      </w:pPr>
      <w:rPr>
        <w:rFonts w:hint="default"/>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4" w15:restartNumberingAfterBreak="0">
    <w:nsid w:val="16C118FA"/>
    <w:multiLevelType w:val="hybridMultilevel"/>
    <w:tmpl w:val="918A06E6"/>
    <w:lvl w:ilvl="0" w:tplc="3F528A3C">
      <w:numFmt w:val="bullet"/>
      <w:lvlText w:val="-"/>
      <w:lvlJc w:val="left"/>
      <w:pPr>
        <w:ind w:left="720" w:hanging="360"/>
      </w:pPr>
      <w:rPr>
        <w:rFonts w:ascii="Arial" w:eastAsiaTheme="minorHAnsi" w:hAnsi="Arial"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5" w15:restartNumberingAfterBreak="0">
    <w:nsid w:val="194060B3"/>
    <w:multiLevelType w:val="multilevel"/>
    <w:tmpl w:val="404AE41E"/>
    <w:lvl w:ilvl="0">
      <w:start w:val="1"/>
      <w:numFmt w:val="none"/>
      <w:lvlText w:val="»"/>
      <w:lvlJc w:val="left"/>
      <w:pPr>
        <w:ind w:left="567" w:hanging="283"/>
      </w:pPr>
      <w:rPr>
        <w:rFonts w:hint="default"/>
        <w:color w:val="2A60AA" w:themeColor="accent1"/>
      </w:rPr>
    </w:lvl>
    <w:lvl w:ilvl="1">
      <w:start w:val="1"/>
      <w:numFmt w:val="bullet"/>
      <w:pStyle w:val="SMCKastengrauAufzhlung2"/>
      <w:lvlText w:val="›"/>
      <w:lvlJc w:val="left"/>
      <w:pPr>
        <w:ind w:left="567" w:hanging="283"/>
      </w:pPr>
      <w:rPr>
        <w:rFonts w:ascii="Akko Rounded Pro Medium" w:hAnsi="Akko Rounded Pro Medium" w:hint="default"/>
        <w:color w:val="2A60AA" w:themeColor="accent1"/>
      </w:rPr>
    </w:lvl>
    <w:lvl w:ilvl="2">
      <w:start w:val="1"/>
      <w:numFmt w:val="bullet"/>
      <w:lvlText w:val=""/>
      <w:lvlJc w:val="left"/>
      <w:pPr>
        <w:ind w:left="567" w:hanging="283"/>
      </w:pPr>
      <w:rPr>
        <w:rFonts w:ascii="Wingdings" w:hAnsi="Wingdings" w:hint="default"/>
        <w:color w:val="2A60AA" w:themeColor="accent1"/>
      </w:rPr>
    </w:lvl>
    <w:lvl w:ilvl="3">
      <w:start w:val="1"/>
      <w:numFmt w:val="bullet"/>
      <w:lvlText w:val="→"/>
      <w:lvlJc w:val="left"/>
      <w:pPr>
        <w:ind w:left="567" w:hanging="283"/>
      </w:pPr>
      <w:rPr>
        <w:rFonts w:ascii="Akko Rounded Pro Medium" w:hAnsi="Akko Rounded Pro Medium" w:hint="default"/>
        <w:color w:val="2A60AA" w:themeColor="accent1"/>
        <w:sz w:val="26"/>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6" w15:restartNumberingAfterBreak="0">
    <w:nsid w:val="220E1AD3"/>
    <w:multiLevelType w:val="multilevel"/>
    <w:tmpl w:val="7B365990"/>
    <w:styleLink w:val="SMCListeStatement"/>
    <w:lvl w:ilvl="0">
      <w:start w:val="1"/>
      <w:numFmt w:val="bullet"/>
      <w:pStyle w:val="SMCStatementALTP"/>
      <w:lvlText w:val="&gt;"/>
      <w:lvlJc w:val="left"/>
      <w:pPr>
        <w:ind w:left="340" w:hanging="340"/>
      </w:pPr>
      <w:rPr>
        <w:rFonts w:ascii="Arial" w:hAnsi="Arial" w:hint="default"/>
        <w:b/>
        <w:i w:val="0"/>
        <w:color w:val="2A60AA" w:themeColor="accent1"/>
        <w:sz w:val="26"/>
      </w:rPr>
    </w:lvl>
    <w:lvl w:ilvl="1">
      <w:start w:val="1"/>
      <w:numFmt w:val="bullet"/>
      <w:lvlText w:val="→"/>
      <w:lvlJc w:val="left"/>
      <w:pPr>
        <w:ind w:left="340" w:hanging="340"/>
      </w:pPr>
      <w:rPr>
        <w:rFonts w:ascii="Akko Rounded Pro Medium" w:hAnsi="Akko Rounded Pro Medium" w:hint="default"/>
        <w:color w:val="2A60AA" w:themeColor="accent1"/>
        <w:sz w:val="26"/>
      </w:rPr>
    </w:lvl>
    <w:lvl w:ilvl="2">
      <w:start w:val="1"/>
      <w:numFmt w:val="bullet"/>
      <w:lvlRestart w:val="0"/>
      <w:lvlText w:val="→"/>
      <w:lvlJc w:val="left"/>
      <w:pPr>
        <w:ind w:left="340" w:hanging="340"/>
      </w:pPr>
      <w:rPr>
        <w:rFonts w:ascii="Akko Rounded Pro Medium" w:hAnsi="Akko Rounded Pro Medium" w:hint="default"/>
        <w:color w:val="2A60AA" w:themeColor="accent1"/>
        <w:sz w:val="26"/>
      </w:rPr>
    </w:lvl>
    <w:lvl w:ilvl="3">
      <w:start w:val="1"/>
      <w:numFmt w:val="bullet"/>
      <w:lvlText w:val="→"/>
      <w:lvlJc w:val="left"/>
      <w:pPr>
        <w:ind w:left="340" w:hanging="340"/>
      </w:pPr>
      <w:rPr>
        <w:rFonts w:ascii="Akko Rounded Pro Medium" w:hAnsi="Akko Rounded Pro Medium" w:hint="default"/>
        <w:color w:val="2A60AA" w:themeColor="accent1"/>
        <w:sz w:val="26"/>
      </w:rPr>
    </w:lvl>
    <w:lvl w:ilvl="4">
      <w:start w:val="1"/>
      <w:numFmt w:val="bullet"/>
      <w:lvlText w:val="→"/>
      <w:lvlJc w:val="left"/>
      <w:pPr>
        <w:ind w:left="340" w:hanging="340"/>
      </w:pPr>
      <w:rPr>
        <w:rFonts w:ascii="Akko Rounded Pro Medium" w:hAnsi="Akko Rounded Pro Medium" w:hint="default"/>
        <w:color w:val="2A60AA" w:themeColor="accent1"/>
        <w:sz w:val="26"/>
      </w:rPr>
    </w:lvl>
    <w:lvl w:ilvl="5">
      <w:start w:val="1"/>
      <w:numFmt w:val="bullet"/>
      <w:lvlText w:val="→"/>
      <w:lvlJc w:val="left"/>
      <w:pPr>
        <w:ind w:left="340" w:hanging="340"/>
      </w:pPr>
      <w:rPr>
        <w:rFonts w:ascii="Akko Rounded Pro Medium" w:hAnsi="Akko Rounded Pro Medium" w:hint="default"/>
        <w:color w:val="2A60AA" w:themeColor="accent1"/>
        <w:sz w:val="26"/>
      </w:rPr>
    </w:lvl>
    <w:lvl w:ilvl="6">
      <w:start w:val="1"/>
      <w:numFmt w:val="bullet"/>
      <w:lvlText w:val="→"/>
      <w:lvlJc w:val="left"/>
      <w:pPr>
        <w:ind w:left="340" w:hanging="340"/>
      </w:pPr>
      <w:rPr>
        <w:rFonts w:ascii="Akko Rounded Pro Medium" w:hAnsi="Akko Rounded Pro Medium" w:hint="default"/>
        <w:color w:val="2A60AA" w:themeColor="accent1"/>
        <w:sz w:val="26"/>
      </w:rPr>
    </w:lvl>
    <w:lvl w:ilvl="7">
      <w:start w:val="1"/>
      <w:numFmt w:val="bullet"/>
      <w:lvlText w:val="→"/>
      <w:lvlJc w:val="left"/>
      <w:pPr>
        <w:ind w:left="340" w:hanging="340"/>
      </w:pPr>
      <w:rPr>
        <w:rFonts w:ascii="Akko Rounded Pro Medium" w:hAnsi="Akko Rounded Pro Medium" w:hint="default"/>
        <w:color w:val="2A60AA" w:themeColor="accent1"/>
        <w:sz w:val="26"/>
      </w:rPr>
    </w:lvl>
    <w:lvl w:ilvl="8">
      <w:start w:val="1"/>
      <w:numFmt w:val="bullet"/>
      <w:lvlText w:val="→"/>
      <w:lvlJc w:val="left"/>
      <w:pPr>
        <w:ind w:left="340" w:hanging="340"/>
      </w:pPr>
      <w:rPr>
        <w:rFonts w:ascii="Akko Rounded Pro Medium" w:hAnsi="Akko Rounded Pro Medium" w:hint="default"/>
        <w:color w:val="2A60AA" w:themeColor="accent1"/>
        <w:sz w:val="26"/>
      </w:rPr>
    </w:lvl>
  </w:abstractNum>
  <w:abstractNum w:abstractNumId="7" w15:restartNumberingAfterBreak="0">
    <w:nsid w:val="2B685FA5"/>
    <w:multiLevelType w:val="multilevel"/>
    <w:tmpl w:val="04A803C4"/>
    <w:styleLink w:val="SMCListeNummerierungen"/>
    <w:lvl w:ilvl="0">
      <w:start w:val="1"/>
      <w:numFmt w:val="decimal"/>
      <w:pStyle w:val="SMCNummerierung1ALTE"/>
      <w:lvlText w:val="%1."/>
      <w:lvlJc w:val="left"/>
      <w:pPr>
        <w:ind w:left="340" w:hanging="340"/>
      </w:pPr>
      <w:rPr>
        <w:rFonts w:hint="default"/>
        <w:color w:val="2A60AA" w:themeColor="accent1"/>
      </w:rPr>
    </w:lvl>
    <w:lvl w:ilvl="1">
      <w:start w:val="1"/>
      <w:numFmt w:val="decimal"/>
      <w:pStyle w:val="SMCNummerierung2ALTZ"/>
      <w:lvlText w:val="%1.%2."/>
      <w:lvlJc w:val="left"/>
      <w:pPr>
        <w:ind w:left="851" w:hanging="511"/>
      </w:pPr>
      <w:rPr>
        <w:rFonts w:hint="default"/>
        <w:color w:val="2A60AA" w:themeColor="accent1"/>
      </w:rPr>
    </w:lvl>
    <w:lvl w:ilvl="2">
      <w:start w:val="1"/>
      <w:numFmt w:val="decimal"/>
      <w:pStyle w:val="SMCNummerierung3"/>
      <w:lvlText w:val="%1.%2.%3."/>
      <w:lvlJc w:val="left"/>
      <w:pPr>
        <w:ind w:left="1701" w:hanging="850"/>
      </w:pPr>
      <w:rPr>
        <w:rFonts w:hint="default"/>
        <w:color w:val="2A60AA" w:themeColor="accent1"/>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8" w15:restartNumberingAfterBreak="0">
    <w:nsid w:val="333D69BC"/>
    <w:multiLevelType w:val="multilevel"/>
    <w:tmpl w:val="F372F0DE"/>
    <w:styleLink w:val="SMCListeEinzgeNummerierungen"/>
    <w:lvl w:ilvl="0">
      <w:start w:val="1"/>
      <w:numFmt w:val="none"/>
      <w:pStyle w:val="SMCEinzugNum1"/>
      <w:lvlText w:val=""/>
      <w:lvlJc w:val="left"/>
      <w:pPr>
        <w:ind w:left="340" w:firstLine="0"/>
      </w:pPr>
      <w:rPr>
        <w:rFonts w:hint="default"/>
      </w:rPr>
    </w:lvl>
    <w:lvl w:ilvl="1">
      <w:start w:val="1"/>
      <w:numFmt w:val="none"/>
      <w:pStyle w:val="SMCEinzugNum2"/>
      <w:lvlText w:val=""/>
      <w:lvlJc w:val="left"/>
      <w:pPr>
        <w:ind w:left="851" w:firstLine="0"/>
      </w:pPr>
      <w:rPr>
        <w:rFonts w:hint="default"/>
      </w:rPr>
    </w:lvl>
    <w:lvl w:ilvl="2">
      <w:start w:val="1"/>
      <w:numFmt w:val="none"/>
      <w:pStyle w:val="SMCEinzugNum3"/>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9" w15:restartNumberingAfterBreak="0">
    <w:nsid w:val="3AD52BA1"/>
    <w:multiLevelType w:val="multilevel"/>
    <w:tmpl w:val="528428B6"/>
    <w:styleLink w:val="SMCListeKasten"/>
    <w:lvl w:ilvl="0">
      <w:start w:val="1"/>
      <w:numFmt w:val="bullet"/>
      <w:pStyle w:val="SMCKastenblauAufzhlung1"/>
      <w:lvlText w:val=""/>
      <w:lvlJc w:val="left"/>
      <w:pPr>
        <w:ind w:left="567" w:hanging="283"/>
      </w:pPr>
      <w:rPr>
        <w:rFonts w:ascii="Symbol" w:hAnsi="Symbol" w:hint="default"/>
        <w:color w:val="FFFFFF" w:themeColor="background1"/>
        <w:sz w:val="20"/>
      </w:rPr>
    </w:lvl>
    <w:lvl w:ilvl="1">
      <w:start w:val="1"/>
      <w:numFmt w:val="bullet"/>
      <w:pStyle w:val="SMCKastenblauStatement"/>
      <w:lvlText w:val="&gt;"/>
      <w:lvlJc w:val="left"/>
      <w:pPr>
        <w:ind w:left="567" w:hanging="283"/>
      </w:pPr>
      <w:rPr>
        <w:rFonts w:ascii="Arial" w:hAnsi="Arial" w:hint="default"/>
        <w:b/>
        <w:i w:val="0"/>
        <w:color w:val="FFFFFF" w:themeColor="background1"/>
        <w:sz w:val="22"/>
      </w:rPr>
    </w:lvl>
    <w:lvl w:ilvl="2">
      <w:start w:val="1"/>
      <w:numFmt w:val="bullet"/>
      <w:pStyle w:val="SMCKastenblauAufzhlung3"/>
      <w:lvlText w:val=""/>
      <w:lvlJc w:val="left"/>
      <w:pPr>
        <w:ind w:left="567" w:hanging="283"/>
      </w:pPr>
      <w:rPr>
        <w:rFonts w:ascii="Wingdings" w:hAnsi="Wingdings" w:hint="default"/>
        <w:color w:val="FFFFFF" w:themeColor="background1"/>
        <w:sz w:val="20"/>
      </w:rPr>
    </w:lvl>
    <w:lvl w:ilvl="3">
      <w:start w:val="1"/>
      <w:numFmt w:val="bullet"/>
      <w:lvlText w:val="→"/>
      <w:lvlJc w:val="left"/>
      <w:pPr>
        <w:ind w:left="567" w:hanging="283"/>
      </w:pPr>
      <w:rPr>
        <w:rFonts w:ascii="Akko Rounded Pro Medium" w:hAnsi="Akko Rounded Pro Medium" w:hint="default"/>
        <w:color w:val="FFFFFF" w:themeColor="background1"/>
        <w:sz w:val="26"/>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abstractNum w:abstractNumId="10" w15:restartNumberingAfterBreak="0">
    <w:nsid w:val="42E87B4D"/>
    <w:multiLevelType w:val="multilevel"/>
    <w:tmpl w:val="25C2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C54DD3"/>
    <w:multiLevelType w:val="hybridMultilevel"/>
    <w:tmpl w:val="B21680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0244CE0"/>
    <w:multiLevelType w:val="hybridMultilevel"/>
    <w:tmpl w:val="D0D062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37512F"/>
    <w:multiLevelType w:val="multilevel"/>
    <w:tmpl w:val="F54AA876"/>
    <w:styleLink w:val="SMCListeBullets"/>
    <w:lvl w:ilvl="0">
      <w:start w:val="1"/>
      <w:numFmt w:val="bullet"/>
      <w:pStyle w:val="SMCAufzhlung1ALTQ"/>
      <w:lvlText w:val=""/>
      <w:lvlJc w:val="left"/>
      <w:pPr>
        <w:ind w:left="340" w:hanging="340"/>
      </w:pPr>
      <w:rPr>
        <w:rFonts w:ascii="Symbol" w:hAnsi="Symbol" w:hint="default"/>
        <w:color w:val="2A60AA" w:themeColor="accent1"/>
        <w:sz w:val="20"/>
      </w:rPr>
    </w:lvl>
    <w:lvl w:ilvl="1">
      <w:start w:val="1"/>
      <w:numFmt w:val="bullet"/>
      <w:pStyle w:val="SMCAufzhlung2"/>
      <w:lvlText w:val=""/>
      <w:lvlJc w:val="left"/>
      <w:pPr>
        <w:ind w:left="680" w:hanging="340"/>
      </w:pPr>
      <w:rPr>
        <w:rFonts w:ascii="Symbol" w:hAnsi="Symbol" w:hint="default"/>
        <w:color w:val="2A60AA" w:themeColor="accent1"/>
        <w:sz w:val="20"/>
      </w:rPr>
    </w:lvl>
    <w:lvl w:ilvl="2">
      <w:start w:val="1"/>
      <w:numFmt w:val="bullet"/>
      <w:pStyle w:val="SMCAufzhlung3"/>
      <w:lvlText w:val=""/>
      <w:lvlJc w:val="left"/>
      <w:pPr>
        <w:ind w:left="1021" w:hanging="341"/>
      </w:pPr>
      <w:rPr>
        <w:rFonts w:ascii="Symbol" w:hAnsi="Symbol" w:hint="default"/>
        <w:color w:val="2A60AA" w:themeColor="accent1"/>
        <w:sz w:val="20"/>
      </w:rPr>
    </w:lvl>
    <w:lvl w:ilvl="3">
      <w:start w:val="1"/>
      <w:numFmt w:val="none"/>
      <w:lvlText w:val=""/>
      <w:lvlJc w:val="left"/>
      <w:pPr>
        <w:ind w:left="454" w:hanging="454"/>
      </w:pPr>
      <w:rPr>
        <w:rFonts w:hint="default"/>
      </w:rPr>
    </w:lvl>
    <w:lvl w:ilvl="4">
      <w:start w:val="1"/>
      <w:numFmt w:val="none"/>
      <w:lvlText w:val=""/>
      <w:lvlJc w:val="left"/>
      <w:pPr>
        <w:ind w:left="454" w:hanging="454"/>
      </w:pPr>
      <w:rPr>
        <w:rFonts w:hint="default"/>
      </w:rPr>
    </w:lvl>
    <w:lvl w:ilvl="5">
      <w:start w:val="1"/>
      <w:numFmt w:val="none"/>
      <w:lvlText w:val=""/>
      <w:lvlJc w:val="left"/>
      <w:pPr>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4" w15:restartNumberingAfterBreak="0">
    <w:nsid w:val="58B156E4"/>
    <w:multiLevelType w:val="multilevel"/>
    <w:tmpl w:val="43DCC4F6"/>
    <w:styleLink w:val="SMCListeberschriften"/>
    <w:lvl w:ilvl="0">
      <w:start w:val="1"/>
      <w:numFmt w:val="decimal"/>
      <w:pStyle w:val="berschrift1"/>
      <w:lvlText w:val="%1"/>
      <w:lvlJc w:val="left"/>
      <w:pPr>
        <w:ind w:left="680" w:hanging="680"/>
      </w:pPr>
      <w:rPr>
        <w:rFonts w:hint="default"/>
      </w:rPr>
    </w:lvl>
    <w:lvl w:ilvl="1">
      <w:start w:val="1"/>
      <w:numFmt w:val="decimal"/>
      <w:pStyle w:val="berschrift2"/>
      <w:lvlText w:val="%1.%2"/>
      <w:lvlJc w:val="left"/>
      <w:pPr>
        <w:ind w:left="680" w:hanging="680"/>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suff w:val="space"/>
      <w:lvlText w:val="%1.%2.%3.%4"/>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5" w15:restartNumberingAfterBreak="0">
    <w:nsid w:val="5CD061B9"/>
    <w:multiLevelType w:val="hybridMultilevel"/>
    <w:tmpl w:val="03ECE2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937303"/>
    <w:multiLevelType w:val="hybridMultilevel"/>
    <w:tmpl w:val="05AC0DE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D003E3"/>
    <w:multiLevelType w:val="hybridMultilevel"/>
    <w:tmpl w:val="7542EA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Symbol" w:hAnsi="Symbol"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Symbol" w:hAnsi="Symbol" w:hint="default"/>
      </w:rPr>
    </w:lvl>
  </w:abstractNum>
  <w:abstractNum w:abstractNumId="18" w15:restartNumberingAfterBreak="0">
    <w:nsid w:val="62F173CB"/>
    <w:multiLevelType w:val="multilevel"/>
    <w:tmpl w:val="91DC17C2"/>
    <w:styleLink w:val="SMCListeAufzhlungen"/>
    <w:lvl w:ilvl="0">
      <w:start w:val="1"/>
      <w:numFmt w:val="none"/>
      <w:lvlText w:val="»"/>
      <w:lvlJc w:val="left"/>
      <w:pPr>
        <w:ind w:left="284" w:hanging="284"/>
      </w:pPr>
      <w:rPr>
        <w:rFonts w:hint="default"/>
        <w:color w:val="2A60AA" w:themeColor="accent1"/>
      </w:rPr>
    </w:lvl>
    <w:lvl w:ilvl="1">
      <w:start w:val="1"/>
      <w:numFmt w:val="bullet"/>
      <w:lvlText w:val="›"/>
      <w:lvlJc w:val="left"/>
      <w:pPr>
        <w:ind w:left="568" w:hanging="284"/>
      </w:pPr>
      <w:rPr>
        <w:rFonts w:hint="default"/>
        <w:color w:val="2A60AA" w:themeColor="accent1"/>
      </w:rPr>
    </w:lvl>
    <w:lvl w:ilvl="2">
      <w:start w:val="1"/>
      <w:numFmt w:val="bullet"/>
      <w:lvlText w:val=""/>
      <w:lvlJc w:val="left"/>
      <w:pPr>
        <w:ind w:left="852" w:hanging="284"/>
      </w:pPr>
      <w:rPr>
        <w:rFonts w:ascii="Wingdings" w:hAnsi="Wingdings" w:hint="default"/>
        <w:color w:val="2A60AA" w:themeColor="accent1"/>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9" w15:restartNumberingAfterBreak="0">
    <w:nsid w:val="633B256A"/>
    <w:multiLevelType w:val="multilevel"/>
    <w:tmpl w:val="2B28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8A0120"/>
    <w:multiLevelType w:val="hybridMultilevel"/>
    <w:tmpl w:val="D34A5288"/>
    <w:lvl w:ilvl="0" w:tplc="FFFFFFFF">
      <w:start w:val="1"/>
      <w:numFmt w:val="bullet"/>
      <w:lvlText w:val=""/>
      <w:lvlJc w:val="left"/>
      <w:pPr>
        <w:tabs>
          <w:tab w:val="num" w:pos="1068"/>
        </w:tabs>
        <w:ind w:left="1068" w:hanging="360"/>
      </w:pPr>
      <w:rPr>
        <w:rFonts w:ascii="Wingdings" w:hAnsi="Wingdings"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Arial" w:eastAsia="Times New Roman" w:hAnsi="Arial" w:cs="Arial" w:hint="default"/>
      </w:rPr>
    </w:lvl>
    <w:lvl w:ilvl="3" w:tplc="FFFFFFFF">
      <w:numFmt w:val="bullet"/>
      <w:lvlText w:val=""/>
      <w:lvlJc w:val="left"/>
      <w:pPr>
        <w:tabs>
          <w:tab w:val="num" w:pos="2880"/>
        </w:tabs>
        <w:ind w:left="2880" w:hanging="360"/>
      </w:pPr>
      <w:rPr>
        <w:rFonts w:ascii="Symbol" w:eastAsia="Times New Roman" w:hAnsi="Symbol" w:cs="Arial" w:hint="default"/>
        <w:b/>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6D4337"/>
    <w:multiLevelType w:val="hybridMultilevel"/>
    <w:tmpl w:val="A0BA79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8E73437"/>
    <w:multiLevelType w:val="hybridMultilevel"/>
    <w:tmpl w:val="9F888F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08E4431"/>
    <w:multiLevelType w:val="hybridMultilevel"/>
    <w:tmpl w:val="72464222"/>
    <w:lvl w:ilvl="0" w:tplc="7F72DDCC">
      <w:start w:val="501"/>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0A2A3C"/>
    <w:multiLevelType w:val="multilevel"/>
    <w:tmpl w:val="E5CEBB04"/>
    <w:lvl w:ilvl="0">
      <w:start w:val="1"/>
      <w:numFmt w:val="none"/>
      <w:lvlText w:val="»"/>
      <w:lvlJc w:val="left"/>
      <w:pPr>
        <w:ind w:left="567" w:hanging="283"/>
      </w:pPr>
      <w:rPr>
        <w:rFonts w:hint="default"/>
        <w:color w:val="FFFFFF" w:themeColor="background1"/>
      </w:rPr>
    </w:lvl>
    <w:lvl w:ilvl="1">
      <w:start w:val="1"/>
      <w:numFmt w:val="bullet"/>
      <w:pStyle w:val="SMCKastenblauAufzhlung2"/>
      <w:lvlText w:val="›"/>
      <w:lvlJc w:val="left"/>
      <w:pPr>
        <w:ind w:left="567" w:hanging="283"/>
      </w:pPr>
      <w:rPr>
        <w:rFonts w:ascii="Akko Rounded Pro Medium" w:hAnsi="Akko Rounded Pro Medium" w:hint="default"/>
        <w:color w:val="FFFFFF" w:themeColor="background1"/>
      </w:rPr>
    </w:lvl>
    <w:lvl w:ilvl="2">
      <w:start w:val="1"/>
      <w:numFmt w:val="bullet"/>
      <w:lvlText w:val=""/>
      <w:lvlJc w:val="left"/>
      <w:pPr>
        <w:ind w:left="567" w:hanging="283"/>
      </w:pPr>
      <w:rPr>
        <w:rFonts w:ascii="Wingdings" w:hAnsi="Wingdings" w:hint="default"/>
        <w:color w:val="FFFFFF" w:themeColor="background1"/>
      </w:rPr>
    </w:lvl>
    <w:lvl w:ilvl="3">
      <w:start w:val="1"/>
      <w:numFmt w:val="bullet"/>
      <w:lvlText w:val="→"/>
      <w:lvlJc w:val="left"/>
      <w:pPr>
        <w:ind w:left="567" w:hanging="283"/>
      </w:pPr>
      <w:rPr>
        <w:rFonts w:ascii="Akko Rounded Pro Medium" w:hAnsi="Akko Rounded Pro Medium" w:hint="default"/>
        <w:color w:val="FFFFFF" w:themeColor="background1"/>
        <w:sz w:val="26"/>
      </w:rPr>
    </w:lvl>
    <w:lvl w:ilvl="4">
      <w:start w:val="1"/>
      <w:numFmt w:val="none"/>
      <w:lvlText w:val=""/>
      <w:lvlJc w:val="left"/>
      <w:pPr>
        <w:ind w:left="567" w:hanging="283"/>
      </w:pPr>
      <w:rPr>
        <w:rFonts w:hint="default"/>
      </w:rPr>
    </w:lvl>
    <w:lvl w:ilvl="5">
      <w:start w:val="1"/>
      <w:numFmt w:val="none"/>
      <w:lvlText w:val=""/>
      <w:lvlJc w:val="left"/>
      <w:pPr>
        <w:ind w:left="567" w:hanging="283"/>
      </w:pPr>
      <w:rPr>
        <w:rFonts w:hint="default"/>
      </w:rPr>
    </w:lvl>
    <w:lvl w:ilvl="6">
      <w:start w:val="1"/>
      <w:numFmt w:val="none"/>
      <w:lvlText w:val=""/>
      <w:lvlJc w:val="left"/>
      <w:pPr>
        <w:ind w:left="567" w:hanging="283"/>
      </w:pPr>
      <w:rPr>
        <w:rFonts w:hint="default"/>
      </w:rPr>
    </w:lvl>
    <w:lvl w:ilvl="7">
      <w:start w:val="1"/>
      <w:numFmt w:val="none"/>
      <w:lvlText w:val=""/>
      <w:lvlJc w:val="left"/>
      <w:pPr>
        <w:ind w:left="567" w:hanging="283"/>
      </w:pPr>
      <w:rPr>
        <w:rFonts w:hint="default"/>
      </w:rPr>
    </w:lvl>
    <w:lvl w:ilvl="8">
      <w:start w:val="1"/>
      <w:numFmt w:val="none"/>
      <w:lvlText w:val=""/>
      <w:lvlJc w:val="left"/>
      <w:pPr>
        <w:ind w:left="567" w:hanging="283"/>
      </w:pPr>
      <w:rPr>
        <w:rFonts w:hint="default"/>
      </w:rPr>
    </w:lvl>
  </w:abstractNum>
  <w:num w:numId="1" w16cid:durableId="631326804">
    <w:abstractNumId w:val="18"/>
  </w:num>
  <w:num w:numId="2" w16cid:durableId="1018242191">
    <w:abstractNumId w:val="14"/>
  </w:num>
  <w:num w:numId="3" w16cid:durableId="31613507">
    <w:abstractNumId w:val="7"/>
  </w:num>
  <w:num w:numId="4" w16cid:durableId="691611886">
    <w:abstractNumId w:val="6"/>
  </w:num>
  <w:num w:numId="5" w16cid:durableId="902184355">
    <w:abstractNumId w:val="24"/>
  </w:num>
  <w:num w:numId="6" w16cid:durableId="1048843019">
    <w:abstractNumId w:val="5"/>
  </w:num>
  <w:num w:numId="7" w16cid:durableId="1769613839">
    <w:abstractNumId w:val="13"/>
  </w:num>
  <w:num w:numId="8" w16cid:durableId="1958752141">
    <w:abstractNumId w:val="1"/>
  </w:num>
  <w:num w:numId="9" w16cid:durableId="1951547173">
    <w:abstractNumId w:val="8"/>
  </w:num>
  <w:num w:numId="10" w16cid:durableId="1189640250">
    <w:abstractNumId w:val="9"/>
  </w:num>
  <w:num w:numId="11" w16cid:durableId="786315349">
    <w:abstractNumId w:val="3"/>
  </w:num>
  <w:num w:numId="12" w16cid:durableId="151140504">
    <w:abstractNumId w:val="2"/>
  </w:num>
  <w:num w:numId="13" w16cid:durableId="1701276010">
    <w:abstractNumId w:val="20"/>
  </w:num>
  <w:num w:numId="14" w16cid:durableId="1209799306">
    <w:abstractNumId w:val="16"/>
  </w:num>
  <w:num w:numId="15" w16cid:durableId="1723675016">
    <w:abstractNumId w:val="4"/>
  </w:num>
  <w:num w:numId="16" w16cid:durableId="919488488">
    <w:abstractNumId w:val="17"/>
  </w:num>
  <w:num w:numId="17" w16cid:durableId="246697549">
    <w:abstractNumId w:val="23"/>
  </w:num>
  <w:num w:numId="18" w16cid:durableId="304359257">
    <w:abstractNumId w:val="22"/>
  </w:num>
  <w:num w:numId="19" w16cid:durableId="588736883">
    <w:abstractNumId w:val="15"/>
  </w:num>
  <w:num w:numId="20" w16cid:durableId="584074813">
    <w:abstractNumId w:val="11"/>
  </w:num>
  <w:num w:numId="21" w16cid:durableId="1658151330">
    <w:abstractNumId w:val="12"/>
  </w:num>
  <w:num w:numId="22" w16cid:durableId="960646952">
    <w:abstractNumId w:val="21"/>
  </w:num>
  <w:num w:numId="23" w16cid:durableId="645553871">
    <w:abstractNumId w:val="0"/>
  </w:num>
  <w:num w:numId="24" w16cid:durableId="56125049">
    <w:abstractNumId w:val="19"/>
  </w:num>
  <w:num w:numId="25" w16cid:durableId="126433801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D1"/>
    <w:rsid w:val="0000076B"/>
    <w:rsid w:val="00003142"/>
    <w:rsid w:val="00003941"/>
    <w:rsid w:val="00005FDC"/>
    <w:rsid w:val="00006B9F"/>
    <w:rsid w:val="00006ED0"/>
    <w:rsid w:val="00007955"/>
    <w:rsid w:val="000104D2"/>
    <w:rsid w:val="000106E0"/>
    <w:rsid w:val="00010BB7"/>
    <w:rsid w:val="00010C0B"/>
    <w:rsid w:val="00011BBC"/>
    <w:rsid w:val="00012906"/>
    <w:rsid w:val="0001389C"/>
    <w:rsid w:val="00013BBE"/>
    <w:rsid w:val="000149F0"/>
    <w:rsid w:val="00016D5E"/>
    <w:rsid w:val="00017CC0"/>
    <w:rsid w:val="00021733"/>
    <w:rsid w:val="00021B50"/>
    <w:rsid w:val="00022553"/>
    <w:rsid w:val="00023DC1"/>
    <w:rsid w:val="000240C5"/>
    <w:rsid w:val="00024A0D"/>
    <w:rsid w:val="00024D4D"/>
    <w:rsid w:val="00025879"/>
    <w:rsid w:val="00025CDC"/>
    <w:rsid w:val="000270CB"/>
    <w:rsid w:val="0002739F"/>
    <w:rsid w:val="00027F0D"/>
    <w:rsid w:val="000305DD"/>
    <w:rsid w:val="000306CB"/>
    <w:rsid w:val="00030975"/>
    <w:rsid w:val="0003208A"/>
    <w:rsid w:val="000347EA"/>
    <w:rsid w:val="00035146"/>
    <w:rsid w:val="00035B75"/>
    <w:rsid w:val="000365C9"/>
    <w:rsid w:val="00036D79"/>
    <w:rsid w:val="0004033A"/>
    <w:rsid w:val="00041893"/>
    <w:rsid w:val="00041A81"/>
    <w:rsid w:val="00041AF8"/>
    <w:rsid w:val="00041FCA"/>
    <w:rsid w:val="00042A06"/>
    <w:rsid w:val="00042F59"/>
    <w:rsid w:val="00043B26"/>
    <w:rsid w:val="00043C45"/>
    <w:rsid w:val="00044A57"/>
    <w:rsid w:val="00046544"/>
    <w:rsid w:val="0004681A"/>
    <w:rsid w:val="00051BA6"/>
    <w:rsid w:val="00053AAA"/>
    <w:rsid w:val="00054B8A"/>
    <w:rsid w:val="00054DE9"/>
    <w:rsid w:val="00054F89"/>
    <w:rsid w:val="00057663"/>
    <w:rsid w:val="00060336"/>
    <w:rsid w:val="0006108C"/>
    <w:rsid w:val="000618A6"/>
    <w:rsid w:val="00063A0A"/>
    <w:rsid w:val="00064E55"/>
    <w:rsid w:val="00065BA6"/>
    <w:rsid w:val="00071471"/>
    <w:rsid w:val="00072F2B"/>
    <w:rsid w:val="00073134"/>
    <w:rsid w:val="000749B6"/>
    <w:rsid w:val="00075402"/>
    <w:rsid w:val="00075F48"/>
    <w:rsid w:val="0008037E"/>
    <w:rsid w:val="000807D3"/>
    <w:rsid w:val="0008171E"/>
    <w:rsid w:val="00083B23"/>
    <w:rsid w:val="00084832"/>
    <w:rsid w:val="00085F91"/>
    <w:rsid w:val="00087D09"/>
    <w:rsid w:val="00090A0B"/>
    <w:rsid w:val="000928F9"/>
    <w:rsid w:val="00094124"/>
    <w:rsid w:val="0009431C"/>
    <w:rsid w:val="00096B61"/>
    <w:rsid w:val="00096E0C"/>
    <w:rsid w:val="00097430"/>
    <w:rsid w:val="000A01D5"/>
    <w:rsid w:val="000A01FD"/>
    <w:rsid w:val="000A104A"/>
    <w:rsid w:val="000A13E2"/>
    <w:rsid w:val="000A28A3"/>
    <w:rsid w:val="000A557F"/>
    <w:rsid w:val="000A6B60"/>
    <w:rsid w:val="000B0E1B"/>
    <w:rsid w:val="000B1B9E"/>
    <w:rsid w:val="000B2190"/>
    <w:rsid w:val="000B2AE8"/>
    <w:rsid w:val="000B2D5E"/>
    <w:rsid w:val="000B3AA0"/>
    <w:rsid w:val="000B49BD"/>
    <w:rsid w:val="000B7C45"/>
    <w:rsid w:val="000C0999"/>
    <w:rsid w:val="000C1B1C"/>
    <w:rsid w:val="000C37D5"/>
    <w:rsid w:val="000C50E9"/>
    <w:rsid w:val="000C5852"/>
    <w:rsid w:val="000C6680"/>
    <w:rsid w:val="000D111A"/>
    <w:rsid w:val="000D2A8E"/>
    <w:rsid w:val="000D450B"/>
    <w:rsid w:val="000D468A"/>
    <w:rsid w:val="000E06F7"/>
    <w:rsid w:val="000E15FE"/>
    <w:rsid w:val="000E1B95"/>
    <w:rsid w:val="000E485F"/>
    <w:rsid w:val="000E575B"/>
    <w:rsid w:val="000E5ED7"/>
    <w:rsid w:val="000E5FA3"/>
    <w:rsid w:val="000E6E1A"/>
    <w:rsid w:val="000F01BE"/>
    <w:rsid w:val="000F103D"/>
    <w:rsid w:val="000F17C9"/>
    <w:rsid w:val="000F548E"/>
    <w:rsid w:val="000F549E"/>
    <w:rsid w:val="000F7303"/>
    <w:rsid w:val="000F7B51"/>
    <w:rsid w:val="000F7F39"/>
    <w:rsid w:val="00100D16"/>
    <w:rsid w:val="00100E88"/>
    <w:rsid w:val="00101A72"/>
    <w:rsid w:val="00103CFD"/>
    <w:rsid w:val="001040B0"/>
    <w:rsid w:val="00104E44"/>
    <w:rsid w:val="00105BB8"/>
    <w:rsid w:val="00107BCC"/>
    <w:rsid w:val="00110E99"/>
    <w:rsid w:val="00111B51"/>
    <w:rsid w:val="001124A4"/>
    <w:rsid w:val="00112CA7"/>
    <w:rsid w:val="0011395B"/>
    <w:rsid w:val="00114085"/>
    <w:rsid w:val="00114E10"/>
    <w:rsid w:val="0011535B"/>
    <w:rsid w:val="00115E18"/>
    <w:rsid w:val="00116DEF"/>
    <w:rsid w:val="00117BA5"/>
    <w:rsid w:val="00122FEF"/>
    <w:rsid w:val="00123BE1"/>
    <w:rsid w:val="0012471D"/>
    <w:rsid w:val="00124BE3"/>
    <w:rsid w:val="00125683"/>
    <w:rsid w:val="00125D59"/>
    <w:rsid w:val="001306CD"/>
    <w:rsid w:val="001314AC"/>
    <w:rsid w:val="0013399F"/>
    <w:rsid w:val="00134B13"/>
    <w:rsid w:val="00134BE0"/>
    <w:rsid w:val="00135D96"/>
    <w:rsid w:val="0013660F"/>
    <w:rsid w:val="00136976"/>
    <w:rsid w:val="00136D35"/>
    <w:rsid w:val="00137231"/>
    <w:rsid w:val="00141255"/>
    <w:rsid w:val="00141322"/>
    <w:rsid w:val="001420F7"/>
    <w:rsid w:val="0014212E"/>
    <w:rsid w:val="001448C4"/>
    <w:rsid w:val="001458CF"/>
    <w:rsid w:val="0014596C"/>
    <w:rsid w:val="00147A17"/>
    <w:rsid w:val="00151E13"/>
    <w:rsid w:val="00151F3B"/>
    <w:rsid w:val="00152283"/>
    <w:rsid w:val="0015580D"/>
    <w:rsid w:val="00155A40"/>
    <w:rsid w:val="00157875"/>
    <w:rsid w:val="001578B3"/>
    <w:rsid w:val="00160203"/>
    <w:rsid w:val="00160EF3"/>
    <w:rsid w:val="001611B3"/>
    <w:rsid w:val="00163A92"/>
    <w:rsid w:val="00164B05"/>
    <w:rsid w:val="00165BCF"/>
    <w:rsid w:val="00165F0B"/>
    <w:rsid w:val="0016665C"/>
    <w:rsid w:val="001674DD"/>
    <w:rsid w:val="001736B7"/>
    <w:rsid w:val="00173F66"/>
    <w:rsid w:val="001741F5"/>
    <w:rsid w:val="00174C1B"/>
    <w:rsid w:val="00174D55"/>
    <w:rsid w:val="00175078"/>
    <w:rsid w:val="00175ECC"/>
    <w:rsid w:val="00176426"/>
    <w:rsid w:val="00177575"/>
    <w:rsid w:val="00177D4C"/>
    <w:rsid w:val="00184B65"/>
    <w:rsid w:val="00184CA5"/>
    <w:rsid w:val="00185B1E"/>
    <w:rsid w:val="00187316"/>
    <w:rsid w:val="001879AB"/>
    <w:rsid w:val="0019104D"/>
    <w:rsid w:val="0019231A"/>
    <w:rsid w:val="00192AE6"/>
    <w:rsid w:val="00192FF7"/>
    <w:rsid w:val="00193D8F"/>
    <w:rsid w:val="00194CA9"/>
    <w:rsid w:val="0019506D"/>
    <w:rsid w:val="00196AF8"/>
    <w:rsid w:val="00196C03"/>
    <w:rsid w:val="001978F7"/>
    <w:rsid w:val="00197C0B"/>
    <w:rsid w:val="001A00FB"/>
    <w:rsid w:val="001A03FC"/>
    <w:rsid w:val="001A0891"/>
    <w:rsid w:val="001A1F93"/>
    <w:rsid w:val="001A2082"/>
    <w:rsid w:val="001A33D0"/>
    <w:rsid w:val="001A3421"/>
    <w:rsid w:val="001A3C37"/>
    <w:rsid w:val="001A43DA"/>
    <w:rsid w:val="001A4C6E"/>
    <w:rsid w:val="001B05BD"/>
    <w:rsid w:val="001B13EE"/>
    <w:rsid w:val="001B1BCC"/>
    <w:rsid w:val="001B29DD"/>
    <w:rsid w:val="001B2F11"/>
    <w:rsid w:val="001B4470"/>
    <w:rsid w:val="001B6330"/>
    <w:rsid w:val="001C17F9"/>
    <w:rsid w:val="001C2F6B"/>
    <w:rsid w:val="001C4B85"/>
    <w:rsid w:val="001C4FCE"/>
    <w:rsid w:val="001C54AE"/>
    <w:rsid w:val="001C6667"/>
    <w:rsid w:val="001C71AD"/>
    <w:rsid w:val="001D073A"/>
    <w:rsid w:val="001D5319"/>
    <w:rsid w:val="001D5945"/>
    <w:rsid w:val="001D5B66"/>
    <w:rsid w:val="001D7DBC"/>
    <w:rsid w:val="001D7FFC"/>
    <w:rsid w:val="001E03AA"/>
    <w:rsid w:val="001E0601"/>
    <w:rsid w:val="001E07AE"/>
    <w:rsid w:val="001E0B84"/>
    <w:rsid w:val="001E18EC"/>
    <w:rsid w:val="001E1D3A"/>
    <w:rsid w:val="001E21EA"/>
    <w:rsid w:val="001E267C"/>
    <w:rsid w:val="001E7242"/>
    <w:rsid w:val="001E74AF"/>
    <w:rsid w:val="001F4306"/>
    <w:rsid w:val="001F4E7D"/>
    <w:rsid w:val="001F508A"/>
    <w:rsid w:val="001F6A91"/>
    <w:rsid w:val="002006A1"/>
    <w:rsid w:val="0020195C"/>
    <w:rsid w:val="00201E63"/>
    <w:rsid w:val="00203BDA"/>
    <w:rsid w:val="00203BF0"/>
    <w:rsid w:val="002044C6"/>
    <w:rsid w:val="00204855"/>
    <w:rsid w:val="00204934"/>
    <w:rsid w:val="00205983"/>
    <w:rsid w:val="0020639D"/>
    <w:rsid w:val="002065F8"/>
    <w:rsid w:val="00206B31"/>
    <w:rsid w:val="00207DF5"/>
    <w:rsid w:val="00210581"/>
    <w:rsid w:val="00210940"/>
    <w:rsid w:val="002121AB"/>
    <w:rsid w:val="002153A9"/>
    <w:rsid w:val="0021584A"/>
    <w:rsid w:val="00215DD2"/>
    <w:rsid w:val="00217515"/>
    <w:rsid w:val="0021790D"/>
    <w:rsid w:val="00217F1B"/>
    <w:rsid w:val="00217F9E"/>
    <w:rsid w:val="0022045F"/>
    <w:rsid w:val="002207C2"/>
    <w:rsid w:val="00220F9B"/>
    <w:rsid w:val="00221ECA"/>
    <w:rsid w:val="00221ED7"/>
    <w:rsid w:val="00224D45"/>
    <w:rsid w:val="002267B5"/>
    <w:rsid w:val="0022755F"/>
    <w:rsid w:val="00230682"/>
    <w:rsid w:val="002318D1"/>
    <w:rsid w:val="00233688"/>
    <w:rsid w:val="002344C0"/>
    <w:rsid w:val="00237B72"/>
    <w:rsid w:val="00240EE0"/>
    <w:rsid w:val="0024104B"/>
    <w:rsid w:val="002424ED"/>
    <w:rsid w:val="0024289C"/>
    <w:rsid w:val="00242DE1"/>
    <w:rsid w:val="0024472F"/>
    <w:rsid w:val="002467E4"/>
    <w:rsid w:val="00247639"/>
    <w:rsid w:val="00247964"/>
    <w:rsid w:val="00247F04"/>
    <w:rsid w:val="00250A6E"/>
    <w:rsid w:val="00252B18"/>
    <w:rsid w:val="002537F4"/>
    <w:rsid w:val="00254B07"/>
    <w:rsid w:val="0025507A"/>
    <w:rsid w:val="00255DC4"/>
    <w:rsid w:val="00260026"/>
    <w:rsid w:val="00260CB9"/>
    <w:rsid w:val="00262B1E"/>
    <w:rsid w:val="002631C3"/>
    <w:rsid w:val="002636C8"/>
    <w:rsid w:val="002641FF"/>
    <w:rsid w:val="002657AC"/>
    <w:rsid w:val="002672BE"/>
    <w:rsid w:val="002736A2"/>
    <w:rsid w:val="00274768"/>
    <w:rsid w:val="00275346"/>
    <w:rsid w:val="00275D90"/>
    <w:rsid w:val="00281908"/>
    <w:rsid w:val="002828C6"/>
    <w:rsid w:val="00282D8F"/>
    <w:rsid w:val="00283151"/>
    <w:rsid w:val="00283D3D"/>
    <w:rsid w:val="00286FEE"/>
    <w:rsid w:val="0028704F"/>
    <w:rsid w:val="00287053"/>
    <w:rsid w:val="00290B20"/>
    <w:rsid w:val="00291E4F"/>
    <w:rsid w:val="00292C2F"/>
    <w:rsid w:val="00292DFA"/>
    <w:rsid w:val="002936D3"/>
    <w:rsid w:val="00294C5F"/>
    <w:rsid w:val="0029507D"/>
    <w:rsid w:val="00295B76"/>
    <w:rsid w:val="00295E9E"/>
    <w:rsid w:val="00296566"/>
    <w:rsid w:val="00297736"/>
    <w:rsid w:val="002A0B33"/>
    <w:rsid w:val="002A223A"/>
    <w:rsid w:val="002A51C4"/>
    <w:rsid w:val="002A51DE"/>
    <w:rsid w:val="002A55B5"/>
    <w:rsid w:val="002A5EAE"/>
    <w:rsid w:val="002A67D9"/>
    <w:rsid w:val="002A6F21"/>
    <w:rsid w:val="002B1585"/>
    <w:rsid w:val="002B7593"/>
    <w:rsid w:val="002B786F"/>
    <w:rsid w:val="002C0694"/>
    <w:rsid w:val="002C2EA5"/>
    <w:rsid w:val="002C493B"/>
    <w:rsid w:val="002C4DBD"/>
    <w:rsid w:val="002D0360"/>
    <w:rsid w:val="002D3AF4"/>
    <w:rsid w:val="002D44AF"/>
    <w:rsid w:val="002D697E"/>
    <w:rsid w:val="002D76E1"/>
    <w:rsid w:val="002E0BCE"/>
    <w:rsid w:val="002E2DF2"/>
    <w:rsid w:val="002E3AFC"/>
    <w:rsid w:val="002E4AEC"/>
    <w:rsid w:val="002E53B7"/>
    <w:rsid w:val="002E53CB"/>
    <w:rsid w:val="002E6502"/>
    <w:rsid w:val="002E7814"/>
    <w:rsid w:val="002E7D8C"/>
    <w:rsid w:val="002F0109"/>
    <w:rsid w:val="002F0231"/>
    <w:rsid w:val="002F04E7"/>
    <w:rsid w:val="002F139B"/>
    <w:rsid w:val="002F14CD"/>
    <w:rsid w:val="002F1722"/>
    <w:rsid w:val="002F1907"/>
    <w:rsid w:val="002F1A9A"/>
    <w:rsid w:val="002F286C"/>
    <w:rsid w:val="002F37AA"/>
    <w:rsid w:val="002F49E1"/>
    <w:rsid w:val="002F5986"/>
    <w:rsid w:val="002F630A"/>
    <w:rsid w:val="002F6C77"/>
    <w:rsid w:val="003002D7"/>
    <w:rsid w:val="0030110E"/>
    <w:rsid w:val="003013DA"/>
    <w:rsid w:val="003017F3"/>
    <w:rsid w:val="0030242E"/>
    <w:rsid w:val="003037E0"/>
    <w:rsid w:val="0030513D"/>
    <w:rsid w:val="00306967"/>
    <w:rsid w:val="00307E13"/>
    <w:rsid w:val="003103F4"/>
    <w:rsid w:val="00310EE9"/>
    <w:rsid w:val="00311A56"/>
    <w:rsid w:val="00312C29"/>
    <w:rsid w:val="00314951"/>
    <w:rsid w:val="003149A6"/>
    <w:rsid w:val="00315323"/>
    <w:rsid w:val="00315DFB"/>
    <w:rsid w:val="0031630C"/>
    <w:rsid w:val="003169B2"/>
    <w:rsid w:val="00316DF8"/>
    <w:rsid w:val="00322626"/>
    <w:rsid w:val="00322BE0"/>
    <w:rsid w:val="00324D23"/>
    <w:rsid w:val="00324F49"/>
    <w:rsid w:val="00325699"/>
    <w:rsid w:val="00332947"/>
    <w:rsid w:val="00332BCE"/>
    <w:rsid w:val="00334171"/>
    <w:rsid w:val="003349AA"/>
    <w:rsid w:val="00335283"/>
    <w:rsid w:val="0033550C"/>
    <w:rsid w:val="003357C4"/>
    <w:rsid w:val="0033697E"/>
    <w:rsid w:val="00337215"/>
    <w:rsid w:val="003374A6"/>
    <w:rsid w:val="00337ADD"/>
    <w:rsid w:val="003418B1"/>
    <w:rsid w:val="00341B49"/>
    <w:rsid w:val="003423D9"/>
    <w:rsid w:val="0034453B"/>
    <w:rsid w:val="003454C4"/>
    <w:rsid w:val="00346B0A"/>
    <w:rsid w:val="00347AE9"/>
    <w:rsid w:val="003507F9"/>
    <w:rsid w:val="0035108E"/>
    <w:rsid w:val="003513BB"/>
    <w:rsid w:val="00352083"/>
    <w:rsid w:val="00352631"/>
    <w:rsid w:val="0035275B"/>
    <w:rsid w:val="00352CD1"/>
    <w:rsid w:val="00354F45"/>
    <w:rsid w:val="00355571"/>
    <w:rsid w:val="0035561C"/>
    <w:rsid w:val="0035649E"/>
    <w:rsid w:val="00356948"/>
    <w:rsid w:val="00356BA6"/>
    <w:rsid w:val="00360568"/>
    <w:rsid w:val="00361415"/>
    <w:rsid w:val="00363818"/>
    <w:rsid w:val="00364179"/>
    <w:rsid w:val="00364247"/>
    <w:rsid w:val="00365034"/>
    <w:rsid w:val="00365569"/>
    <w:rsid w:val="00366088"/>
    <w:rsid w:val="003664B8"/>
    <w:rsid w:val="00366B84"/>
    <w:rsid w:val="00370C41"/>
    <w:rsid w:val="00374338"/>
    <w:rsid w:val="003746A3"/>
    <w:rsid w:val="00375F39"/>
    <w:rsid w:val="00376433"/>
    <w:rsid w:val="003800FA"/>
    <w:rsid w:val="0038137C"/>
    <w:rsid w:val="00381A7C"/>
    <w:rsid w:val="00381C63"/>
    <w:rsid w:val="00382ED1"/>
    <w:rsid w:val="003840DC"/>
    <w:rsid w:val="00384583"/>
    <w:rsid w:val="003847FA"/>
    <w:rsid w:val="0038726D"/>
    <w:rsid w:val="003905B7"/>
    <w:rsid w:val="003918B9"/>
    <w:rsid w:val="00391B9D"/>
    <w:rsid w:val="003923F8"/>
    <w:rsid w:val="0039421C"/>
    <w:rsid w:val="003A2267"/>
    <w:rsid w:val="003A2387"/>
    <w:rsid w:val="003A28C8"/>
    <w:rsid w:val="003A2A6B"/>
    <w:rsid w:val="003A2CE4"/>
    <w:rsid w:val="003A479C"/>
    <w:rsid w:val="003A51F0"/>
    <w:rsid w:val="003A53D7"/>
    <w:rsid w:val="003A669E"/>
    <w:rsid w:val="003A6717"/>
    <w:rsid w:val="003A71B0"/>
    <w:rsid w:val="003A7462"/>
    <w:rsid w:val="003B029E"/>
    <w:rsid w:val="003B0A61"/>
    <w:rsid w:val="003B12FC"/>
    <w:rsid w:val="003B1F86"/>
    <w:rsid w:val="003B2CE9"/>
    <w:rsid w:val="003B31C9"/>
    <w:rsid w:val="003B3874"/>
    <w:rsid w:val="003B3D37"/>
    <w:rsid w:val="003B3E80"/>
    <w:rsid w:val="003B44E7"/>
    <w:rsid w:val="003C0B8B"/>
    <w:rsid w:val="003C1437"/>
    <w:rsid w:val="003C532D"/>
    <w:rsid w:val="003C5791"/>
    <w:rsid w:val="003C6E35"/>
    <w:rsid w:val="003C6F84"/>
    <w:rsid w:val="003C764E"/>
    <w:rsid w:val="003D0986"/>
    <w:rsid w:val="003D0B72"/>
    <w:rsid w:val="003D17BF"/>
    <w:rsid w:val="003D183B"/>
    <w:rsid w:val="003D2408"/>
    <w:rsid w:val="003D369B"/>
    <w:rsid w:val="003D524C"/>
    <w:rsid w:val="003D5EA0"/>
    <w:rsid w:val="003D692C"/>
    <w:rsid w:val="003E0AE3"/>
    <w:rsid w:val="003E285C"/>
    <w:rsid w:val="003E3161"/>
    <w:rsid w:val="003E50CB"/>
    <w:rsid w:val="003E527D"/>
    <w:rsid w:val="003E573F"/>
    <w:rsid w:val="003F11A7"/>
    <w:rsid w:val="003F1826"/>
    <w:rsid w:val="003F1CA4"/>
    <w:rsid w:val="003F36FD"/>
    <w:rsid w:val="003F4071"/>
    <w:rsid w:val="003F6658"/>
    <w:rsid w:val="003F66C0"/>
    <w:rsid w:val="003F6B28"/>
    <w:rsid w:val="00401976"/>
    <w:rsid w:val="00401DCC"/>
    <w:rsid w:val="00405973"/>
    <w:rsid w:val="00407865"/>
    <w:rsid w:val="00407F80"/>
    <w:rsid w:val="004118B9"/>
    <w:rsid w:val="004213BA"/>
    <w:rsid w:val="004215D5"/>
    <w:rsid w:val="00421E3E"/>
    <w:rsid w:val="004256A1"/>
    <w:rsid w:val="004260F2"/>
    <w:rsid w:val="00426140"/>
    <w:rsid w:val="00426666"/>
    <w:rsid w:val="004276E0"/>
    <w:rsid w:val="00427A2B"/>
    <w:rsid w:val="00430143"/>
    <w:rsid w:val="00430A13"/>
    <w:rsid w:val="00431465"/>
    <w:rsid w:val="0043312A"/>
    <w:rsid w:val="004336DC"/>
    <w:rsid w:val="00435443"/>
    <w:rsid w:val="00436AA5"/>
    <w:rsid w:val="0044109C"/>
    <w:rsid w:val="0044146A"/>
    <w:rsid w:val="004417E0"/>
    <w:rsid w:val="00443A44"/>
    <w:rsid w:val="00443DC2"/>
    <w:rsid w:val="004444CF"/>
    <w:rsid w:val="00445959"/>
    <w:rsid w:val="00445B65"/>
    <w:rsid w:val="004460E0"/>
    <w:rsid w:val="00446713"/>
    <w:rsid w:val="0044679F"/>
    <w:rsid w:val="00446CBD"/>
    <w:rsid w:val="004473AF"/>
    <w:rsid w:val="00447D16"/>
    <w:rsid w:val="004502EE"/>
    <w:rsid w:val="004520A7"/>
    <w:rsid w:val="00452C85"/>
    <w:rsid w:val="00454B3E"/>
    <w:rsid w:val="00455461"/>
    <w:rsid w:val="00455576"/>
    <w:rsid w:val="00460330"/>
    <w:rsid w:val="00462D7F"/>
    <w:rsid w:val="0046577F"/>
    <w:rsid w:val="0046796E"/>
    <w:rsid w:val="00473131"/>
    <w:rsid w:val="00474AB6"/>
    <w:rsid w:val="00480679"/>
    <w:rsid w:val="00480739"/>
    <w:rsid w:val="00480981"/>
    <w:rsid w:val="00480D54"/>
    <w:rsid w:val="00480D8D"/>
    <w:rsid w:val="004816A4"/>
    <w:rsid w:val="00482D98"/>
    <w:rsid w:val="00484FB5"/>
    <w:rsid w:val="0048563E"/>
    <w:rsid w:val="00486DE8"/>
    <w:rsid w:val="00486ED9"/>
    <w:rsid w:val="004874CB"/>
    <w:rsid w:val="004909AF"/>
    <w:rsid w:val="004919E9"/>
    <w:rsid w:val="00491F4D"/>
    <w:rsid w:val="004920D5"/>
    <w:rsid w:val="00492342"/>
    <w:rsid w:val="00495561"/>
    <w:rsid w:val="0049674E"/>
    <w:rsid w:val="0049707C"/>
    <w:rsid w:val="004A040D"/>
    <w:rsid w:val="004A1D23"/>
    <w:rsid w:val="004A2566"/>
    <w:rsid w:val="004A3595"/>
    <w:rsid w:val="004A44BE"/>
    <w:rsid w:val="004A4BEE"/>
    <w:rsid w:val="004A4F56"/>
    <w:rsid w:val="004A53C3"/>
    <w:rsid w:val="004A567B"/>
    <w:rsid w:val="004A60E8"/>
    <w:rsid w:val="004B2B64"/>
    <w:rsid w:val="004B2D90"/>
    <w:rsid w:val="004B36C8"/>
    <w:rsid w:val="004B64EF"/>
    <w:rsid w:val="004B69B2"/>
    <w:rsid w:val="004B7BD7"/>
    <w:rsid w:val="004C010B"/>
    <w:rsid w:val="004C081E"/>
    <w:rsid w:val="004C0E48"/>
    <w:rsid w:val="004C0EAC"/>
    <w:rsid w:val="004C1C62"/>
    <w:rsid w:val="004C24E1"/>
    <w:rsid w:val="004C5492"/>
    <w:rsid w:val="004C702A"/>
    <w:rsid w:val="004D25B1"/>
    <w:rsid w:val="004D2DCF"/>
    <w:rsid w:val="004D35BF"/>
    <w:rsid w:val="004D427E"/>
    <w:rsid w:val="004D4684"/>
    <w:rsid w:val="004D4D2C"/>
    <w:rsid w:val="004D6258"/>
    <w:rsid w:val="004D657E"/>
    <w:rsid w:val="004E0AE9"/>
    <w:rsid w:val="004E0FED"/>
    <w:rsid w:val="004E1A0A"/>
    <w:rsid w:val="004E4A39"/>
    <w:rsid w:val="004E5115"/>
    <w:rsid w:val="004E5AB0"/>
    <w:rsid w:val="004E6A77"/>
    <w:rsid w:val="004E6C23"/>
    <w:rsid w:val="004F121F"/>
    <w:rsid w:val="004F24BD"/>
    <w:rsid w:val="004F3939"/>
    <w:rsid w:val="004F3AA4"/>
    <w:rsid w:val="004F4552"/>
    <w:rsid w:val="004F78F4"/>
    <w:rsid w:val="00500650"/>
    <w:rsid w:val="00500896"/>
    <w:rsid w:val="00501247"/>
    <w:rsid w:val="005022A3"/>
    <w:rsid w:val="00502B4D"/>
    <w:rsid w:val="005038E4"/>
    <w:rsid w:val="005052F6"/>
    <w:rsid w:val="005058DD"/>
    <w:rsid w:val="005060AE"/>
    <w:rsid w:val="00506CD8"/>
    <w:rsid w:val="00512379"/>
    <w:rsid w:val="00512CA6"/>
    <w:rsid w:val="00512EED"/>
    <w:rsid w:val="00513C2F"/>
    <w:rsid w:val="005145A4"/>
    <w:rsid w:val="00514A1B"/>
    <w:rsid w:val="00514E42"/>
    <w:rsid w:val="00514F37"/>
    <w:rsid w:val="0051500A"/>
    <w:rsid w:val="005164B5"/>
    <w:rsid w:val="0051711E"/>
    <w:rsid w:val="00517301"/>
    <w:rsid w:val="00521678"/>
    <w:rsid w:val="00521F23"/>
    <w:rsid w:val="00522B82"/>
    <w:rsid w:val="005230C2"/>
    <w:rsid w:val="00523569"/>
    <w:rsid w:val="00525B3F"/>
    <w:rsid w:val="00525FD7"/>
    <w:rsid w:val="00531AB9"/>
    <w:rsid w:val="00533FF0"/>
    <w:rsid w:val="00534425"/>
    <w:rsid w:val="00534D83"/>
    <w:rsid w:val="005353F0"/>
    <w:rsid w:val="00535FD5"/>
    <w:rsid w:val="005372E9"/>
    <w:rsid w:val="005374ED"/>
    <w:rsid w:val="00545087"/>
    <w:rsid w:val="00545584"/>
    <w:rsid w:val="00545DD0"/>
    <w:rsid w:val="005473F8"/>
    <w:rsid w:val="00547561"/>
    <w:rsid w:val="005523AD"/>
    <w:rsid w:val="00552CCB"/>
    <w:rsid w:val="00554103"/>
    <w:rsid w:val="00554359"/>
    <w:rsid w:val="005549D1"/>
    <w:rsid w:val="00554C1C"/>
    <w:rsid w:val="00556388"/>
    <w:rsid w:val="00556CC2"/>
    <w:rsid w:val="00560983"/>
    <w:rsid w:val="005609B9"/>
    <w:rsid w:val="00562273"/>
    <w:rsid w:val="00562799"/>
    <w:rsid w:val="0056287B"/>
    <w:rsid w:val="00564687"/>
    <w:rsid w:val="00565FE4"/>
    <w:rsid w:val="005665E5"/>
    <w:rsid w:val="00566FF9"/>
    <w:rsid w:val="0057731D"/>
    <w:rsid w:val="00577E41"/>
    <w:rsid w:val="00580302"/>
    <w:rsid w:val="00581A94"/>
    <w:rsid w:val="005824F5"/>
    <w:rsid w:val="00583A83"/>
    <w:rsid w:val="00583C7F"/>
    <w:rsid w:val="005878B9"/>
    <w:rsid w:val="005904CD"/>
    <w:rsid w:val="005909D5"/>
    <w:rsid w:val="00591039"/>
    <w:rsid w:val="00591693"/>
    <w:rsid w:val="00591CCC"/>
    <w:rsid w:val="00594004"/>
    <w:rsid w:val="0059446C"/>
    <w:rsid w:val="00594A36"/>
    <w:rsid w:val="00596CE2"/>
    <w:rsid w:val="00597E4F"/>
    <w:rsid w:val="005A0402"/>
    <w:rsid w:val="005A0ACC"/>
    <w:rsid w:val="005A2FCA"/>
    <w:rsid w:val="005A2FCF"/>
    <w:rsid w:val="005A35EB"/>
    <w:rsid w:val="005A40FF"/>
    <w:rsid w:val="005A5DEE"/>
    <w:rsid w:val="005A62EC"/>
    <w:rsid w:val="005A6378"/>
    <w:rsid w:val="005A6E69"/>
    <w:rsid w:val="005A7BF0"/>
    <w:rsid w:val="005B1C9C"/>
    <w:rsid w:val="005B299D"/>
    <w:rsid w:val="005B2D02"/>
    <w:rsid w:val="005B30F7"/>
    <w:rsid w:val="005B4E20"/>
    <w:rsid w:val="005B59A7"/>
    <w:rsid w:val="005B65B4"/>
    <w:rsid w:val="005B6E5F"/>
    <w:rsid w:val="005C0E2F"/>
    <w:rsid w:val="005C184A"/>
    <w:rsid w:val="005C230C"/>
    <w:rsid w:val="005C39C9"/>
    <w:rsid w:val="005C48E2"/>
    <w:rsid w:val="005C5030"/>
    <w:rsid w:val="005C5165"/>
    <w:rsid w:val="005C615B"/>
    <w:rsid w:val="005C65BF"/>
    <w:rsid w:val="005C6713"/>
    <w:rsid w:val="005C7046"/>
    <w:rsid w:val="005C746C"/>
    <w:rsid w:val="005C75AC"/>
    <w:rsid w:val="005C7AA9"/>
    <w:rsid w:val="005C7ABF"/>
    <w:rsid w:val="005C7C62"/>
    <w:rsid w:val="005D1EBD"/>
    <w:rsid w:val="005D278D"/>
    <w:rsid w:val="005D28D1"/>
    <w:rsid w:val="005D4216"/>
    <w:rsid w:val="005D4CE3"/>
    <w:rsid w:val="005D5501"/>
    <w:rsid w:val="005D58E1"/>
    <w:rsid w:val="005D637D"/>
    <w:rsid w:val="005D71F1"/>
    <w:rsid w:val="005E052A"/>
    <w:rsid w:val="005E0A21"/>
    <w:rsid w:val="005E128D"/>
    <w:rsid w:val="005E2270"/>
    <w:rsid w:val="005E4519"/>
    <w:rsid w:val="005E47BE"/>
    <w:rsid w:val="005E4918"/>
    <w:rsid w:val="005E57FD"/>
    <w:rsid w:val="005E5ECB"/>
    <w:rsid w:val="005E6B89"/>
    <w:rsid w:val="005E766F"/>
    <w:rsid w:val="005F0A29"/>
    <w:rsid w:val="005F3A6C"/>
    <w:rsid w:val="005F3A80"/>
    <w:rsid w:val="005F3C09"/>
    <w:rsid w:val="005F42A0"/>
    <w:rsid w:val="005F4560"/>
    <w:rsid w:val="005F4BA0"/>
    <w:rsid w:val="005F4BAC"/>
    <w:rsid w:val="005F615E"/>
    <w:rsid w:val="0060106E"/>
    <w:rsid w:val="006015B7"/>
    <w:rsid w:val="00601BC1"/>
    <w:rsid w:val="0060298B"/>
    <w:rsid w:val="00606863"/>
    <w:rsid w:val="006105DA"/>
    <w:rsid w:val="00611B88"/>
    <w:rsid w:val="00611C21"/>
    <w:rsid w:val="00611D3B"/>
    <w:rsid w:val="00612493"/>
    <w:rsid w:val="00612EA3"/>
    <w:rsid w:val="006134EE"/>
    <w:rsid w:val="00613B24"/>
    <w:rsid w:val="006156DB"/>
    <w:rsid w:val="00615766"/>
    <w:rsid w:val="0061707A"/>
    <w:rsid w:val="00617EA1"/>
    <w:rsid w:val="006220B6"/>
    <w:rsid w:val="00623094"/>
    <w:rsid w:val="00623AAD"/>
    <w:rsid w:val="00623C80"/>
    <w:rsid w:val="00625074"/>
    <w:rsid w:val="0062542D"/>
    <w:rsid w:val="00626140"/>
    <w:rsid w:val="00630342"/>
    <w:rsid w:val="00631750"/>
    <w:rsid w:val="006317C2"/>
    <w:rsid w:val="00631C0B"/>
    <w:rsid w:val="006320A8"/>
    <w:rsid w:val="00632809"/>
    <w:rsid w:val="00633665"/>
    <w:rsid w:val="006402A8"/>
    <w:rsid w:val="006404C5"/>
    <w:rsid w:val="00640B79"/>
    <w:rsid w:val="00642185"/>
    <w:rsid w:val="00642C67"/>
    <w:rsid w:val="00642CD6"/>
    <w:rsid w:val="0064315E"/>
    <w:rsid w:val="00643E08"/>
    <w:rsid w:val="00643EC8"/>
    <w:rsid w:val="00645650"/>
    <w:rsid w:val="00645CCD"/>
    <w:rsid w:val="00646357"/>
    <w:rsid w:val="006467D3"/>
    <w:rsid w:val="006478C3"/>
    <w:rsid w:val="0065112F"/>
    <w:rsid w:val="0065342B"/>
    <w:rsid w:val="00656522"/>
    <w:rsid w:val="00656A21"/>
    <w:rsid w:val="00660ABB"/>
    <w:rsid w:val="00660B8C"/>
    <w:rsid w:val="006614CD"/>
    <w:rsid w:val="00661653"/>
    <w:rsid w:val="00661990"/>
    <w:rsid w:val="00661C83"/>
    <w:rsid w:val="00661E2A"/>
    <w:rsid w:val="00663345"/>
    <w:rsid w:val="00665DDA"/>
    <w:rsid w:val="00666294"/>
    <w:rsid w:val="00670128"/>
    <w:rsid w:val="00670626"/>
    <w:rsid w:val="00671F65"/>
    <w:rsid w:val="00673E2F"/>
    <w:rsid w:val="006740B6"/>
    <w:rsid w:val="006769E0"/>
    <w:rsid w:val="00684E7C"/>
    <w:rsid w:val="00685F71"/>
    <w:rsid w:val="0069034A"/>
    <w:rsid w:val="006935EF"/>
    <w:rsid w:val="00693B02"/>
    <w:rsid w:val="00694575"/>
    <w:rsid w:val="0069639E"/>
    <w:rsid w:val="006A1AC7"/>
    <w:rsid w:val="006A1B12"/>
    <w:rsid w:val="006A2588"/>
    <w:rsid w:val="006A2E4D"/>
    <w:rsid w:val="006A34C9"/>
    <w:rsid w:val="006A5572"/>
    <w:rsid w:val="006A701A"/>
    <w:rsid w:val="006B0BA6"/>
    <w:rsid w:val="006B1808"/>
    <w:rsid w:val="006B3264"/>
    <w:rsid w:val="006B332C"/>
    <w:rsid w:val="006B5EF5"/>
    <w:rsid w:val="006C01C0"/>
    <w:rsid w:val="006C1CF3"/>
    <w:rsid w:val="006C2736"/>
    <w:rsid w:val="006C2830"/>
    <w:rsid w:val="006C5FDB"/>
    <w:rsid w:val="006C7263"/>
    <w:rsid w:val="006C7C78"/>
    <w:rsid w:val="006D023E"/>
    <w:rsid w:val="006D1037"/>
    <w:rsid w:val="006D13A9"/>
    <w:rsid w:val="006D1751"/>
    <w:rsid w:val="006D1D19"/>
    <w:rsid w:val="006D2032"/>
    <w:rsid w:val="006D2250"/>
    <w:rsid w:val="006D4EEA"/>
    <w:rsid w:val="006D51B4"/>
    <w:rsid w:val="006D633C"/>
    <w:rsid w:val="006D6C02"/>
    <w:rsid w:val="006D6EAC"/>
    <w:rsid w:val="006D6EF1"/>
    <w:rsid w:val="006D79A7"/>
    <w:rsid w:val="006D7F90"/>
    <w:rsid w:val="006E1669"/>
    <w:rsid w:val="006E2813"/>
    <w:rsid w:val="006E28A3"/>
    <w:rsid w:val="006E343E"/>
    <w:rsid w:val="006E3E28"/>
    <w:rsid w:val="006E53E3"/>
    <w:rsid w:val="006E6381"/>
    <w:rsid w:val="006F0F2F"/>
    <w:rsid w:val="006F23CE"/>
    <w:rsid w:val="006F4CC0"/>
    <w:rsid w:val="006F67D6"/>
    <w:rsid w:val="006F7BE4"/>
    <w:rsid w:val="00701848"/>
    <w:rsid w:val="00702F5B"/>
    <w:rsid w:val="00703284"/>
    <w:rsid w:val="007036F8"/>
    <w:rsid w:val="00703B6E"/>
    <w:rsid w:val="00703EBB"/>
    <w:rsid w:val="007061D0"/>
    <w:rsid w:val="00706260"/>
    <w:rsid w:val="00706B04"/>
    <w:rsid w:val="00707607"/>
    <w:rsid w:val="00707F19"/>
    <w:rsid w:val="00710D1B"/>
    <w:rsid w:val="007110F7"/>
    <w:rsid w:val="007146FE"/>
    <w:rsid w:val="00716EFB"/>
    <w:rsid w:val="00720093"/>
    <w:rsid w:val="00720F59"/>
    <w:rsid w:val="00721FBB"/>
    <w:rsid w:val="007238DA"/>
    <w:rsid w:val="00724F24"/>
    <w:rsid w:val="00730F90"/>
    <w:rsid w:val="00731F85"/>
    <w:rsid w:val="00732551"/>
    <w:rsid w:val="00733E35"/>
    <w:rsid w:val="00735FEF"/>
    <w:rsid w:val="00736AB8"/>
    <w:rsid w:val="00736D98"/>
    <w:rsid w:val="00737A2E"/>
    <w:rsid w:val="00737AA8"/>
    <w:rsid w:val="00737BAD"/>
    <w:rsid w:val="007436B5"/>
    <w:rsid w:val="007450ED"/>
    <w:rsid w:val="00746A7E"/>
    <w:rsid w:val="00751B3F"/>
    <w:rsid w:val="00751D01"/>
    <w:rsid w:val="00752325"/>
    <w:rsid w:val="00752D09"/>
    <w:rsid w:val="00753310"/>
    <w:rsid w:val="00753479"/>
    <w:rsid w:val="00753A58"/>
    <w:rsid w:val="00753E5A"/>
    <w:rsid w:val="0075484F"/>
    <w:rsid w:val="00757136"/>
    <w:rsid w:val="007579C8"/>
    <w:rsid w:val="0076111C"/>
    <w:rsid w:val="007614AD"/>
    <w:rsid w:val="00762170"/>
    <w:rsid w:val="00762580"/>
    <w:rsid w:val="00763476"/>
    <w:rsid w:val="00764621"/>
    <w:rsid w:val="00765B5E"/>
    <w:rsid w:val="00766E51"/>
    <w:rsid w:val="007710CA"/>
    <w:rsid w:val="007731CD"/>
    <w:rsid w:val="007748C4"/>
    <w:rsid w:val="00774CC7"/>
    <w:rsid w:val="00776DEC"/>
    <w:rsid w:val="00781A18"/>
    <w:rsid w:val="00782998"/>
    <w:rsid w:val="00784052"/>
    <w:rsid w:val="00784DC6"/>
    <w:rsid w:val="00784DF0"/>
    <w:rsid w:val="007850BF"/>
    <w:rsid w:val="00786EC2"/>
    <w:rsid w:val="00791414"/>
    <w:rsid w:val="00792A8C"/>
    <w:rsid w:val="00792F97"/>
    <w:rsid w:val="007939F2"/>
    <w:rsid w:val="00794865"/>
    <w:rsid w:val="007A0198"/>
    <w:rsid w:val="007A06C3"/>
    <w:rsid w:val="007A06D2"/>
    <w:rsid w:val="007A1C8E"/>
    <w:rsid w:val="007A734D"/>
    <w:rsid w:val="007B0D4C"/>
    <w:rsid w:val="007B38F7"/>
    <w:rsid w:val="007B3FED"/>
    <w:rsid w:val="007B6D17"/>
    <w:rsid w:val="007B7E00"/>
    <w:rsid w:val="007C0722"/>
    <w:rsid w:val="007C1903"/>
    <w:rsid w:val="007C3F7B"/>
    <w:rsid w:val="007C4BA0"/>
    <w:rsid w:val="007C66AF"/>
    <w:rsid w:val="007D0D98"/>
    <w:rsid w:val="007D0DEF"/>
    <w:rsid w:val="007D183E"/>
    <w:rsid w:val="007D18CE"/>
    <w:rsid w:val="007D1A9B"/>
    <w:rsid w:val="007D1C7C"/>
    <w:rsid w:val="007D1D72"/>
    <w:rsid w:val="007D243A"/>
    <w:rsid w:val="007D2B9F"/>
    <w:rsid w:val="007D2E90"/>
    <w:rsid w:val="007D335E"/>
    <w:rsid w:val="007D3638"/>
    <w:rsid w:val="007D39F5"/>
    <w:rsid w:val="007D57F9"/>
    <w:rsid w:val="007D602A"/>
    <w:rsid w:val="007D64FD"/>
    <w:rsid w:val="007D69DE"/>
    <w:rsid w:val="007D6AF2"/>
    <w:rsid w:val="007F2760"/>
    <w:rsid w:val="007F51F3"/>
    <w:rsid w:val="007F57A0"/>
    <w:rsid w:val="007F58F2"/>
    <w:rsid w:val="00800833"/>
    <w:rsid w:val="00801DBC"/>
    <w:rsid w:val="008023BA"/>
    <w:rsid w:val="008030BC"/>
    <w:rsid w:val="008041B7"/>
    <w:rsid w:val="0080480D"/>
    <w:rsid w:val="00805FDA"/>
    <w:rsid w:val="008074E9"/>
    <w:rsid w:val="008102D0"/>
    <w:rsid w:val="008163AA"/>
    <w:rsid w:val="00821E4E"/>
    <w:rsid w:val="0082202A"/>
    <w:rsid w:val="008222EA"/>
    <w:rsid w:val="00822A76"/>
    <w:rsid w:val="008236BF"/>
    <w:rsid w:val="0082556A"/>
    <w:rsid w:val="0082631A"/>
    <w:rsid w:val="00830282"/>
    <w:rsid w:val="00832EB7"/>
    <w:rsid w:val="00833B7B"/>
    <w:rsid w:val="00833E43"/>
    <w:rsid w:val="00834E9D"/>
    <w:rsid w:val="00836318"/>
    <w:rsid w:val="00836388"/>
    <w:rsid w:val="00836EDB"/>
    <w:rsid w:val="00837C27"/>
    <w:rsid w:val="008414A3"/>
    <w:rsid w:val="00841957"/>
    <w:rsid w:val="00842DEF"/>
    <w:rsid w:val="00842DF7"/>
    <w:rsid w:val="00843155"/>
    <w:rsid w:val="008505A9"/>
    <w:rsid w:val="008519BF"/>
    <w:rsid w:val="008524D4"/>
    <w:rsid w:val="00857DB4"/>
    <w:rsid w:val="00861865"/>
    <w:rsid w:val="00863228"/>
    <w:rsid w:val="008641A2"/>
    <w:rsid w:val="00865165"/>
    <w:rsid w:val="008657C5"/>
    <w:rsid w:val="0086697F"/>
    <w:rsid w:val="00866DB4"/>
    <w:rsid w:val="008759E2"/>
    <w:rsid w:val="00877783"/>
    <w:rsid w:val="00880156"/>
    <w:rsid w:val="00882186"/>
    <w:rsid w:val="008869EF"/>
    <w:rsid w:val="008870EC"/>
    <w:rsid w:val="00890106"/>
    <w:rsid w:val="00890E0F"/>
    <w:rsid w:val="008917BF"/>
    <w:rsid w:val="00894267"/>
    <w:rsid w:val="00896FAE"/>
    <w:rsid w:val="008A1BFE"/>
    <w:rsid w:val="008A2464"/>
    <w:rsid w:val="008A2750"/>
    <w:rsid w:val="008A3AD8"/>
    <w:rsid w:val="008A5220"/>
    <w:rsid w:val="008A5738"/>
    <w:rsid w:val="008A6530"/>
    <w:rsid w:val="008B07C0"/>
    <w:rsid w:val="008B0DBB"/>
    <w:rsid w:val="008B1548"/>
    <w:rsid w:val="008B20C0"/>
    <w:rsid w:val="008B28CA"/>
    <w:rsid w:val="008B32B1"/>
    <w:rsid w:val="008B3B27"/>
    <w:rsid w:val="008B3F88"/>
    <w:rsid w:val="008B44F7"/>
    <w:rsid w:val="008B48B4"/>
    <w:rsid w:val="008B61FC"/>
    <w:rsid w:val="008B6340"/>
    <w:rsid w:val="008B64A5"/>
    <w:rsid w:val="008B6CAB"/>
    <w:rsid w:val="008B7A8D"/>
    <w:rsid w:val="008C030F"/>
    <w:rsid w:val="008C0802"/>
    <w:rsid w:val="008C195A"/>
    <w:rsid w:val="008C2C2E"/>
    <w:rsid w:val="008C3130"/>
    <w:rsid w:val="008C4909"/>
    <w:rsid w:val="008C56A1"/>
    <w:rsid w:val="008C5B41"/>
    <w:rsid w:val="008C5D48"/>
    <w:rsid w:val="008C6C86"/>
    <w:rsid w:val="008C73C2"/>
    <w:rsid w:val="008D2243"/>
    <w:rsid w:val="008D2643"/>
    <w:rsid w:val="008D4BB8"/>
    <w:rsid w:val="008D659E"/>
    <w:rsid w:val="008E010C"/>
    <w:rsid w:val="008E08A5"/>
    <w:rsid w:val="008E129B"/>
    <w:rsid w:val="008E23C7"/>
    <w:rsid w:val="008E4B46"/>
    <w:rsid w:val="008E66E9"/>
    <w:rsid w:val="008E7C26"/>
    <w:rsid w:val="008F0B90"/>
    <w:rsid w:val="008F17D5"/>
    <w:rsid w:val="008F1C77"/>
    <w:rsid w:val="008F24C9"/>
    <w:rsid w:val="008F56A5"/>
    <w:rsid w:val="008F57DA"/>
    <w:rsid w:val="008F5D89"/>
    <w:rsid w:val="008F6D11"/>
    <w:rsid w:val="008F7B9F"/>
    <w:rsid w:val="009002E3"/>
    <w:rsid w:val="00900344"/>
    <w:rsid w:val="00900451"/>
    <w:rsid w:val="00900708"/>
    <w:rsid w:val="00900DFB"/>
    <w:rsid w:val="0090379B"/>
    <w:rsid w:val="00904704"/>
    <w:rsid w:val="00905226"/>
    <w:rsid w:val="00905299"/>
    <w:rsid w:val="009059EC"/>
    <w:rsid w:val="009062D5"/>
    <w:rsid w:val="00906AD8"/>
    <w:rsid w:val="00906C1F"/>
    <w:rsid w:val="00906DA8"/>
    <w:rsid w:val="00907121"/>
    <w:rsid w:val="00911B04"/>
    <w:rsid w:val="009136D6"/>
    <w:rsid w:val="009158DC"/>
    <w:rsid w:val="00916C64"/>
    <w:rsid w:val="00916F0B"/>
    <w:rsid w:val="00917553"/>
    <w:rsid w:val="00917997"/>
    <w:rsid w:val="00922B0D"/>
    <w:rsid w:val="00923B6C"/>
    <w:rsid w:val="009256C0"/>
    <w:rsid w:val="00926D90"/>
    <w:rsid w:val="0093147A"/>
    <w:rsid w:val="00932345"/>
    <w:rsid w:val="00932654"/>
    <w:rsid w:val="0093478C"/>
    <w:rsid w:val="0093675B"/>
    <w:rsid w:val="009372FD"/>
    <w:rsid w:val="0093768F"/>
    <w:rsid w:val="0093796B"/>
    <w:rsid w:val="00937ECF"/>
    <w:rsid w:val="00940265"/>
    <w:rsid w:val="00940875"/>
    <w:rsid w:val="009409C5"/>
    <w:rsid w:val="00940C83"/>
    <w:rsid w:val="009414B9"/>
    <w:rsid w:val="00941F8A"/>
    <w:rsid w:val="00942942"/>
    <w:rsid w:val="00942F3C"/>
    <w:rsid w:val="0094508D"/>
    <w:rsid w:val="009450EA"/>
    <w:rsid w:val="009451BD"/>
    <w:rsid w:val="00946427"/>
    <w:rsid w:val="00947209"/>
    <w:rsid w:val="0095183F"/>
    <w:rsid w:val="009524DA"/>
    <w:rsid w:val="00953066"/>
    <w:rsid w:val="00955921"/>
    <w:rsid w:val="009611C6"/>
    <w:rsid w:val="00961D90"/>
    <w:rsid w:val="00963655"/>
    <w:rsid w:val="009653D3"/>
    <w:rsid w:val="00965844"/>
    <w:rsid w:val="00966920"/>
    <w:rsid w:val="00966A6A"/>
    <w:rsid w:val="00967B3D"/>
    <w:rsid w:val="00971AD5"/>
    <w:rsid w:val="00971DDB"/>
    <w:rsid w:val="00971EAB"/>
    <w:rsid w:val="009720BE"/>
    <w:rsid w:val="009733EE"/>
    <w:rsid w:val="009735A0"/>
    <w:rsid w:val="009743C6"/>
    <w:rsid w:val="00974738"/>
    <w:rsid w:val="00975ACB"/>
    <w:rsid w:val="00976FDA"/>
    <w:rsid w:val="00977BCF"/>
    <w:rsid w:val="00981968"/>
    <w:rsid w:val="00981C83"/>
    <w:rsid w:val="009844ED"/>
    <w:rsid w:val="009859B4"/>
    <w:rsid w:val="00986A47"/>
    <w:rsid w:val="009873CD"/>
    <w:rsid w:val="00990B55"/>
    <w:rsid w:val="0099162B"/>
    <w:rsid w:val="00991B9D"/>
    <w:rsid w:val="0099274F"/>
    <w:rsid w:val="00993225"/>
    <w:rsid w:val="0099493E"/>
    <w:rsid w:val="009956CB"/>
    <w:rsid w:val="00995B3D"/>
    <w:rsid w:val="00995B58"/>
    <w:rsid w:val="00996393"/>
    <w:rsid w:val="00996CD7"/>
    <w:rsid w:val="00996D76"/>
    <w:rsid w:val="0099787E"/>
    <w:rsid w:val="009A1620"/>
    <w:rsid w:val="009A213F"/>
    <w:rsid w:val="009A2164"/>
    <w:rsid w:val="009B0D2F"/>
    <w:rsid w:val="009B34FA"/>
    <w:rsid w:val="009B3731"/>
    <w:rsid w:val="009B42B1"/>
    <w:rsid w:val="009B4C7D"/>
    <w:rsid w:val="009B5E0D"/>
    <w:rsid w:val="009B72DC"/>
    <w:rsid w:val="009C0CA5"/>
    <w:rsid w:val="009C2270"/>
    <w:rsid w:val="009C2981"/>
    <w:rsid w:val="009C2A25"/>
    <w:rsid w:val="009C3F82"/>
    <w:rsid w:val="009C763A"/>
    <w:rsid w:val="009C775A"/>
    <w:rsid w:val="009C77E8"/>
    <w:rsid w:val="009D04B5"/>
    <w:rsid w:val="009D0A91"/>
    <w:rsid w:val="009D0D55"/>
    <w:rsid w:val="009D1B40"/>
    <w:rsid w:val="009D219E"/>
    <w:rsid w:val="009D2E04"/>
    <w:rsid w:val="009D36A4"/>
    <w:rsid w:val="009D4004"/>
    <w:rsid w:val="009D4369"/>
    <w:rsid w:val="009D4717"/>
    <w:rsid w:val="009D49DE"/>
    <w:rsid w:val="009D4CBE"/>
    <w:rsid w:val="009D5423"/>
    <w:rsid w:val="009D54AE"/>
    <w:rsid w:val="009D6F7E"/>
    <w:rsid w:val="009D7BE1"/>
    <w:rsid w:val="009E1896"/>
    <w:rsid w:val="009E26D0"/>
    <w:rsid w:val="009E2908"/>
    <w:rsid w:val="009E29C6"/>
    <w:rsid w:val="009E29EE"/>
    <w:rsid w:val="009E4E08"/>
    <w:rsid w:val="009E5258"/>
    <w:rsid w:val="009E5332"/>
    <w:rsid w:val="009E5BAC"/>
    <w:rsid w:val="009E65E4"/>
    <w:rsid w:val="009E699C"/>
    <w:rsid w:val="009E782D"/>
    <w:rsid w:val="009F10A0"/>
    <w:rsid w:val="009F140F"/>
    <w:rsid w:val="009F2190"/>
    <w:rsid w:val="009F28DD"/>
    <w:rsid w:val="009F3256"/>
    <w:rsid w:val="009F338A"/>
    <w:rsid w:val="009F4F55"/>
    <w:rsid w:val="009F538D"/>
    <w:rsid w:val="009F5689"/>
    <w:rsid w:val="009F60C9"/>
    <w:rsid w:val="009F61E1"/>
    <w:rsid w:val="009F6A1E"/>
    <w:rsid w:val="009F79D8"/>
    <w:rsid w:val="00A01219"/>
    <w:rsid w:val="00A047D7"/>
    <w:rsid w:val="00A058B2"/>
    <w:rsid w:val="00A05FD1"/>
    <w:rsid w:val="00A070C5"/>
    <w:rsid w:val="00A07EC4"/>
    <w:rsid w:val="00A11714"/>
    <w:rsid w:val="00A117FE"/>
    <w:rsid w:val="00A11D53"/>
    <w:rsid w:val="00A124BC"/>
    <w:rsid w:val="00A162CE"/>
    <w:rsid w:val="00A16B12"/>
    <w:rsid w:val="00A17828"/>
    <w:rsid w:val="00A2246A"/>
    <w:rsid w:val="00A2360C"/>
    <w:rsid w:val="00A23F50"/>
    <w:rsid w:val="00A24424"/>
    <w:rsid w:val="00A244AC"/>
    <w:rsid w:val="00A262A6"/>
    <w:rsid w:val="00A26941"/>
    <w:rsid w:val="00A27E21"/>
    <w:rsid w:val="00A310F1"/>
    <w:rsid w:val="00A32464"/>
    <w:rsid w:val="00A32507"/>
    <w:rsid w:val="00A333B0"/>
    <w:rsid w:val="00A343B6"/>
    <w:rsid w:val="00A35F20"/>
    <w:rsid w:val="00A36F8A"/>
    <w:rsid w:val="00A3743F"/>
    <w:rsid w:val="00A42A0B"/>
    <w:rsid w:val="00A44178"/>
    <w:rsid w:val="00A443F8"/>
    <w:rsid w:val="00A44F6E"/>
    <w:rsid w:val="00A45741"/>
    <w:rsid w:val="00A462D3"/>
    <w:rsid w:val="00A46E13"/>
    <w:rsid w:val="00A50055"/>
    <w:rsid w:val="00A5006F"/>
    <w:rsid w:val="00A516A1"/>
    <w:rsid w:val="00A5301D"/>
    <w:rsid w:val="00A540E6"/>
    <w:rsid w:val="00A55EE8"/>
    <w:rsid w:val="00A60299"/>
    <w:rsid w:val="00A60A39"/>
    <w:rsid w:val="00A61923"/>
    <w:rsid w:val="00A648C6"/>
    <w:rsid w:val="00A648CB"/>
    <w:rsid w:val="00A6738D"/>
    <w:rsid w:val="00A67ED2"/>
    <w:rsid w:val="00A702E3"/>
    <w:rsid w:val="00A7073B"/>
    <w:rsid w:val="00A73BC4"/>
    <w:rsid w:val="00A753E3"/>
    <w:rsid w:val="00A7562B"/>
    <w:rsid w:val="00A779CC"/>
    <w:rsid w:val="00A8480C"/>
    <w:rsid w:val="00A91342"/>
    <w:rsid w:val="00A91775"/>
    <w:rsid w:val="00A9372B"/>
    <w:rsid w:val="00A939A7"/>
    <w:rsid w:val="00A941D2"/>
    <w:rsid w:val="00A949C9"/>
    <w:rsid w:val="00A94C57"/>
    <w:rsid w:val="00A95531"/>
    <w:rsid w:val="00A95EDE"/>
    <w:rsid w:val="00A960B0"/>
    <w:rsid w:val="00A96F4E"/>
    <w:rsid w:val="00A9776E"/>
    <w:rsid w:val="00AA03DC"/>
    <w:rsid w:val="00AA1FCB"/>
    <w:rsid w:val="00AA480B"/>
    <w:rsid w:val="00AA5055"/>
    <w:rsid w:val="00AA5AD1"/>
    <w:rsid w:val="00AA6891"/>
    <w:rsid w:val="00AB0DC0"/>
    <w:rsid w:val="00AB149D"/>
    <w:rsid w:val="00AB2094"/>
    <w:rsid w:val="00AB253A"/>
    <w:rsid w:val="00AB27D3"/>
    <w:rsid w:val="00AB4456"/>
    <w:rsid w:val="00AB7115"/>
    <w:rsid w:val="00AB71AC"/>
    <w:rsid w:val="00AB792F"/>
    <w:rsid w:val="00AC1287"/>
    <w:rsid w:val="00AC17E2"/>
    <w:rsid w:val="00AC3104"/>
    <w:rsid w:val="00AC36B1"/>
    <w:rsid w:val="00AC3E0F"/>
    <w:rsid w:val="00AC4120"/>
    <w:rsid w:val="00AC440D"/>
    <w:rsid w:val="00AC4609"/>
    <w:rsid w:val="00AC6ECE"/>
    <w:rsid w:val="00AC7E1E"/>
    <w:rsid w:val="00AD0078"/>
    <w:rsid w:val="00AD26F9"/>
    <w:rsid w:val="00AD6539"/>
    <w:rsid w:val="00AD6734"/>
    <w:rsid w:val="00AE27AD"/>
    <w:rsid w:val="00AE5F3B"/>
    <w:rsid w:val="00AE6564"/>
    <w:rsid w:val="00AE7A8E"/>
    <w:rsid w:val="00AE7ABA"/>
    <w:rsid w:val="00AF0470"/>
    <w:rsid w:val="00AF0C3A"/>
    <w:rsid w:val="00AF2A57"/>
    <w:rsid w:val="00AF32BE"/>
    <w:rsid w:val="00AF59F5"/>
    <w:rsid w:val="00AF7891"/>
    <w:rsid w:val="00B031F1"/>
    <w:rsid w:val="00B051CC"/>
    <w:rsid w:val="00B05996"/>
    <w:rsid w:val="00B061AD"/>
    <w:rsid w:val="00B06849"/>
    <w:rsid w:val="00B07636"/>
    <w:rsid w:val="00B118EC"/>
    <w:rsid w:val="00B12A7B"/>
    <w:rsid w:val="00B12CDB"/>
    <w:rsid w:val="00B142BE"/>
    <w:rsid w:val="00B1727A"/>
    <w:rsid w:val="00B20412"/>
    <w:rsid w:val="00B20EA3"/>
    <w:rsid w:val="00B22379"/>
    <w:rsid w:val="00B22847"/>
    <w:rsid w:val="00B22CD8"/>
    <w:rsid w:val="00B232B1"/>
    <w:rsid w:val="00B2597B"/>
    <w:rsid w:val="00B27DF8"/>
    <w:rsid w:val="00B322A3"/>
    <w:rsid w:val="00B32320"/>
    <w:rsid w:val="00B32BF5"/>
    <w:rsid w:val="00B33694"/>
    <w:rsid w:val="00B3517B"/>
    <w:rsid w:val="00B359F6"/>
    <w:rsid w:val="00B35B95"/>
    <w:rsid w:val="00B35CCF"/>
    <w:rsid w:val="00B40017"/>
    <w:rsid w:val="00B41C41"/>
    <w:rsid w:val="00B425FC"/>
    <w:rsid w:val="00B42C04"/>
    <w:rsid w:val="00B43AE8"/>
    <w:rsid w:val="00B43F95"/>
    <w:rsid w:val="00B44402"/>
    <w:rsid w:val="00B44A67"/>
    <w:rsid w:val="00B46D09"/>
    <w:rsid w:val="00B476E7"/>
    <w:rsid w:val="00B50738"/>
    <w:rsid w:val="00B5125A"/>
    <w:rsid w:val="00B51BD4"/>
    <w:rsid w:val="00B530D7"/>
    <w:rsid w:val="00B53831"/>
    <w:rsid w:val="00B53ABC"/>
    <w:rsid w:val="00B53C9D"/>
    <w:rsid w:val="00B54E5D"/>
    <w:rsid w:val="00B5538C"/>
    <w:rsid w:val="00B565AE"/>
    <w:rsid w:val="00B567E7"/>
    <w:rsid w:val="00B56F89"/>
    <w:rsid w:val="00B573A6"/>
    <w:rsid w:val="00B622C7"/>
    <w:rsid w:val="00B62E23"/>
    <w:rsid w:val="00B63548"/>
    <w:rsid w:val="00B64ABF"/>
    <w:rsid w:val="00B66E96"/>
    <w:rsid w:val="00B67B42"/>
    <w:rsid w:val="00B700B6"/>
    <w:rsid w:val="00B73B86"/>
    <w:rsid w:val="00B745B7"/>
    <w:rsid w:val="00B76AED"/>
    <w:rsid w:val="00B76DE5"/>
    <w:rsid w:val="00B77CFC"/>
    <w:rsid w:val="00B803E3"/>
    <w:rsid w:val="00B81058"/>
    <w:rsid w:val="00B81939"/>
    <w:rsid w:val="00B8211F"/>
    <w:rsid w:val="00B82494"/>
    <w:rsid w:val="00B82A2F"/>
    <w:rsid w:val="00B834FA"/>
    <w:rsid w:val="00B84AFB"/>
    <w:rsid w:val="00B85028"/>
    <w:rsid w:val="00B922AB"/>
    <w:rsid w:val="00B9244C"/>
    <w:rsid w:val="00B92779"/>
    <w:rsid w:val="00B94976"/>
    <w:rsid w:val="00B94F20"/>
    <w:rsid w:val="00B9531F"/>
    <w:rsid w:val="00B958AE"/>
    <w:rsid w:val="00B9758B"/>
    <w:rsid w:val="00BA1784"/>
    <w:rsid w:val="00BA3140"/>
    <w:rsid w:val="00BA4E2B"/>
    <w:rsid w:val="00BA5F7B"/>
    <w:rsid w:val="00BB1FF9"/>
    <w:rsid w:val="00BB4AB7"/>
    <w:rsid w:val="00BB6AF3"/>
    <w:rsid w:val="00BB6BA9"/>
    <w:rsid w:val="00BC26FA"/>
    <w:rsid w:val="00BC28E1"/>
    <w:rsid w:val="00BC6B28"/>
    <w:rsid w:val="00BC7189"/>
    <w:rsid w:val="00BC73E3"/>
    <w:rsid w:val="00BC7928"/>
    <w:rsid w:val="00BD1C3F"/>
    <w:rsid w:val="00BD3492"/>
    <w:rsid w:val="00BD6D62"/>
    <w:rsid w:val="00BD6E50"/>
    <w:rsid w:val="00BE041F"/>
    <w:rsid w:val="00BE08B9"/>
    <w:rsid w:val="00BE0BB1"/>
    <w:rsid w:val="00BE127A"/>
    <w:rsid w:val="00BE45AD"/>
    <w:rsid w:val="00BE48CE"/>
    <w:rsid w:val="00BE64FD"/>
    <w:rsid w:val="00BE6B50"/>
    <w:rsid w:val="00BE7844"/>
    <w:rsid w:val="00BF2777"/>
    <w:rsid w:val="00BF32B7"/>
    <w:rsid w:val="00BF537B"/>
    <w:rsid w:val="00BF5514"/>
    <w:rsid w:val="00BF5E41"/>
    <w:rsid w:val="00BF6DDE"/>
    <w:rsid w:val="00BF714F"/>
    <w:rsid w:val="00BF721E"/>
    <w:rsid w:val="00C008B1"/>
    <w:rsid w:val="00C01108"/>
    <w:rsid w:val="00C01219"/>
    <w:rsid w:val="00C01362"/>
    <w:rsid w:val="00C01F6C"/>
    <w:rsid w:val="00C02141"/>
    <w:rsid w:val="00C03964"/>
    <w:rsid w:val="00C03E52"/>
    <w:rsid w:val="00C0479C"/>
    <w:rsid w:val="00C05EF3"/>
    <w:rsid w:val="00C071A5"/>
    <w:rsid w:val="00C10077"/>
    <w:rsid w:val="00C1197C"/>
    <w:rsid w:val="00C15CFA"/>
    <w:rsid w:val="00C171F3"/>
    <w:rsid w:val="00C20195"/>
    <w:rsid w:val="00C21739"/>
    <w:rsid w:val="00C21FCD"/>
    <w:rsid w:val="00C2407B"/>
    <w:rsid w:val="00C2469D"/>
    <w:rsid w:val="00C24E20"/>
    <w:rsid w:val="00C253F2"/>
    <w:rsid w:val="00C2717D"/>
    <w:rsid w:val="00C30DFA"/>
    <w:rsid w:val="00C31C59"/>
    <w:rsid w:val="00C31F55"/>
    <w:rsid w:val="00C32EF2"/>
    <w:rsid w:val="00C334D9"/>
    <w:rsid w:val="00C3565A"/>
    <w:rsid w:val="00C36E2F"/>
    <w:rsid w:val="00C400A9"/>
    <w:rsid w:val="00C4144D"/>
    <w:rsid w:val="00C428EB"/>
    <w:rsid w:val="00C429FC"/>
    <w:rsid w:val="00C435FA"/>
    <w:rsid w:val="00C46344"/>
    <w:rsid w:val="00C46CC5"/>
    <w:rsid w:val="00C5196C"/>
    <w:rsid w:val="00C521C0"/>
    <w:rsid w:val="00C53363"/>
    <w:rsid w:val="00C53791"/>
    <w:rsid w:val="00C5379F"/>
    <w:rsid w:val="00C5428D"/>
    <w:rsid w:val="00C55D5D"/>
    <w:rsid w:val="00C5765E"/>
    <w:rsid w:val="00C6176B"/>
    <w:rsid w:val="00C62F6D"/>
    <w:rsid w:val="00C67FE5"/>
    <w:rsid w:val="00C70797"/>
    <w:rsid w:val="00C707FA"/>
    <w:rsid w:val="00C7108D"/>
    <w:rsid w:val="00C710C0"/>
    <w:rsid w:val="00C71F1C"/>
    <w:rsid w:val="00C75123"/>
    <w:rsid w:val="00C762EB"/>
    <w:rsid w:val="00C76959"/>
    <w:rsid w:val="00C80701"/>
    <w:rsid w:val="00C82999"/>
    <w:rsid w:val="00C83DA5"/>
    <w:rsid w:val="00C85A23"/>
    <w:rsid w:val="00C85CCE"/>
    <w:rsid w:val="00C866A8"/>
    <w:rsid w:val="00C87D55"/>
    <w:rsid w:val="00C90C2C"/>
    <w:rsid w:val="00C91EDF"/>
    <w:rsid w:val="00C9397B"/>
    <w:rsid w:val="00C93AF5"/>
    <w:rsid w:val="00C93B2A"/>
    <w:rsid w:val="00C93E7C"/>
    <w:rsid w:val="00C9410B"/>
    <w:rsid w:val="00C94458"/>
    <w:rsid w:val="00C94A1B"/>
    <w:rsid w:val="00C94F05"/>
    <w:rsid w:val="00C9553E"/>
    <w:rsid w:val="00C95A3D"/>
    <w:rsid w:val="00C978A6"/>
    <w:rsid w:val="00C97A2E"/>
    <w:rsid w:val="00C97B82"/>
    <w:rsid w:val="00C97FAE"/>
    <w:rsid w:val="00CA2D16"/>
    <w:rsid w:val="00CA372B"/>
    <w:rsid w:val="00CA39EB"/>
    <w:rsid w:val="00CA404C"/>
    <w:rsid w:val="00CA48CA"/>
    <w:rsid w:val="00CA54F4"/>
    <w:rsid w:val="00CA5B26"/>
    <w:rsid w:val="00CA6158"/>
    <w:rsid w:val="00CA70BC"/>
    <w:rsid w:val="00CB0DD7"/>
    <w:rsid w:val="00CB1720"/>
    <w:rsid w:val="00CB2132"/>
    <w:rsid w:val="00CB3607"/>
    <w:rsid w:val="00CB3E25"/>
    <w:rsid w:val="00CB401B"/>
    <w:rsid w:val="00CB4D21"/>
    <w:rsid w:val="00CB624B"/>
    <w:rsid w:val="00CB6A3A"/>
    <w:rsid w:val="00CB6BCC"/>
    <w:rsid w:val="00CC18A1"/>
    <w:rsid w:val="00CC2B85"/>
    <w:rsid w:val="00CC442C"/>
    <w:rsid w:val="00CC62A5"/>
    <w:rsid w:val="00CC6C13"/>
    <w:rsid w:val="00CC79B6"/>
    <w:rsid w:val="00CD1DF9"/>
    <w:rsid w:val="00CD2163"/>
    <w:rsid w:val="00CD23D6"/>
    <w:rsid w:val="00CD24F2"/>
    <w:rsid w:val="00CD4541"/>
    <w:rsid w:val="00CD4BB4"/>
    <w:rsid w:val="00CD4FAC"/>
    <w:rsid w:val="00CD63C5"/>
    <w:rsid w:val="00CD65EF"/>
    <w:rsid w:val="00CD70DE"/>
    <w:rsid w:val="00CE0A0A"/>
    <w:rsid w:val="00CE0ECC"/>
    <w:rsid w:val="00CE3159"/>
    <w:rsid w:val="00CE3C59"/>
    <w:rsid w:val="00CE5741"/>
    <w:rsid w:val="00CE6B22"/>
    <w:rsid w:val="00CE6B33"/>
    <w:rsid w:val="00CE73E6"/>
    <w:rsid w:val="00CF0391"/>
    <w:rsid w:val="00CF06D8"/>
    <w:rsid w:val="00CF3E57"/>
    <w:rsid w:val="00CF6AE7"/>
    <w:rsid w:val="00CF7EDF"/>
    <w:rsid w:val="00D00697"/>
    <w:rsid w:val="00D00BB0"/>
    <w:rsid w:val="00D026FB"/>
    <w:rsid w:val="00D02FF4"/>
    <w:rsid w:val="00D03BBC"/>
    <w:rsid w:val="00D03E71"/>
    <w:rsid w:val="00D04068"/>
    <w:rsid w:val="00D0409A"/>
    <w:rsid w:val="00D046D1"/>
    <w:rsid w:val="00D05987"/>
    <w:rsid w:val="00D05FE6"/>
    <w:rsid w:val="00D072F2"/>
    <w:rsid w:val="00D10131"/>
    <w:rsid w:val="00D1075C"/>
    <w:rsid w:val="00D108C6"/>
    <w:rsid w:val="00D108E1"/>
    <w:rsid w:val="00D10F05"/>
    <w:rsid w:val="00D11379"/>
    <w:rsid w:val="00D11D92"/>
    <w:rsid w:val="00D132F7"/>
    <w:rsid w:val="00D15E9D"/>
    <w:rsid w:val="00D1604C"/>
    <w:rsid w:val="00D179F6"/>
    <w:rsid w:val="00D22901"/>
    <w:rsid w:val="00D26313"/>
    <w:rsid w:val="00D269AE"/>
    <w:rsid w:val="00D27FFC"/>
    <w:rsid w:val="00D31A52"/>
    <w:rsid w:val="00D31D16"/>
    <w:rsid w:val="00D32BF7"/>
    <w:rsid w:val="00D33387"/>
    <w:rsid w:val="00D334FC"/>
    <w:rsid w:val="00D337F3"/>
    <w:rsid w:val="00D33BD8"/>
    <w:rsid w:val="00D33BF2"/>
    <w:rsid w:val="00D34D1A"/>
    <w:rsid w:val="00D37C28"/>
    <w:rsid w:val="00D40823"/>
    <w:rsid w:val="00D41A7E"/>
    <w:rsid w:val="00D41B5B"/>
    <w:rsid w:val="00D422C7"/>
    <w:rsid w:val="00D424C6"/>
    <w:rsid w:val="00D425BB"/>
    <w:rsid w:val="00D43DB5"/>
    <w:rsid w:val="00D44D4F"/>
    <w:rsid w:val="00D46EF0"/>
    <w:rsid w:val="00D47848"/>
    <w:rsid w:val="00D50183"/>
    <w:rsid w:val="00D538E5"/>
    <w:rsid w:val="00D53BE5"/>
    <w:rsid w:val="00D53BF9"/>
    <w:rsid w:val="00D55C5E"/>
    <w:rsid w:val="00D55EEB"/>
    <w:rsid w:val="00D56DAB"/>
    <w:rsid w:val="00D608E7"/>
    <w:rsid w:val="00D60A0F"/>
    <w:rsid w:val="00D60F2A"/>
    <w:rsid w:val="00D6109B"/>
    <w:rsid w:val="00D61E0A"/>
    <w:rsid w:val="00D6452C"/>
    <w:rsid w:val="00D64F34"/>
    <w:rsid w:val="00D65145"/>
    <w:rsid w:val="00D657C7"/>
    <w:rsid w:val="00D66D78"/>
    <w:rsid w:val="00D72F93"/>
    <w:rsid w:val="00D73044"/>
    <w:rsid w:val="00D73D20"/>
    <w:rsid w:val="00D82E85"/>
    <w:rsid w:val="00D845E7"/>
    <w:rsid w:val="00D84D44"/>
    <w:rsid w:val="00D851DB"/>
    <w:rsid w:val="00D858D6"/>
    <w:rsid w:val="00D85DFB"/>
    <w:rsid w:val="00D86A81"/>
    <w:rsid w:val="00D90AAB"/>
    <w:rsid w:val="00D91EE4"/>
    <w:rsid w:val="00D9355D"/>
    <w:rsid w:val="00D9357E"/>
    <w:rsid w:val="00D93C49"/>
    <w:rsid w:val="00D94E9D"/>
    <w:rsid w:val="00D95DA7"/>
    <w:rsid w:val="00D96A56"/>
    <w:rsid w:val="00DA068B"/>
    <w:rsid w:val="00DA0E01"/>
    <w:rsid w:val="00DA1FC6"/>
    <w:rsid w:val="00DA22AB"/>
    <w:rsid w:val="00DA2370"/>
    <w:rsid w:val="00DA2961"/>
    <w:rsid w:val="00DA2E4F"/>
    <w:rsid w:val="00DA33F3"/>
    <w:rsid w:val="00DA33FF"/>
    <w:rsid w:val="00DA34CA"/>
    <w:rsid w:val="00DA420C"/>
    <w:rsid w:val="00DA4B9A"/>
    <w:rsid w:val="00DA671A"/>
    <w:rsid w:val="00DB037B"/>
    <w:rsid w:val="00DB2DDD"/>
    <w:rsid w:val="00DB3144"/>
    <w:rsid w:val="00DB46D6"/>
    <w:rsid w:val="00DB4970"/>
    <w:rsid w:val="00DB717E"/>
    <w:rsid w:val="00DC030B"/>
    <w:rsid w:val="00DC0E9B"/>
    <w:rsid w:val="00DC4EF4"/>
    <w:rsid w:val="00DD0540"/>
    <w:rsid w:val="00DD1300"/>
    <w:rsid w:val="00DD1397"/>
    <w:rsid w:val="00DD19F0"/>
    <w:rsid w:val="00DD1B95"/>
    <w:rsid w:val="00DD2C89"/>
    <w:rsid w:val="00DD3AA1"/>
    <w:rsid w:val="00DD3F5D"/>
    <w:rsid w:val="00DD4470"/>
    <w:rsid w:val="00DD4549"/>
    <w:rsid w:val="00DD511A"/>
    <w:rsid w:val="00DD5A47"/>
    <w:rsid w:val="00DD630F"/>
    <w:rsid w:val="00DD66FD"/>
    <w:rsid w:val="00DD67A3"/>
    <w:rsid w:val="00DD7A07"/>
    <w:rsid w:val="00DD7E77"/>
    <w:rsid w:val="00DE3FB7"/>
    <w:rsid w:val="00DE4E8A"/>
    <w:rsid w:val="00DE563C"/>
    <w:rsid w:val="00DE56A0"/>
    <w:rsid w:val="00DE7045"/>
    <w:rsid w:val="00DF09FB"/>
    <w:rsid w:val="00DF0D44"/>
    <w:rsid w:val="00DF1DBC"/>
    <w:rsid w:val="00DF25CC"/>
    <w:rsid w:val="00DF2BB7"/>
    <w:rsid w:val="00DF2C47"/>
    <w:rsid w:val="00DF3CD2"/>
    <w:rsid w:val="00DF3DFB"/>
    <w:rsid w:val="00DF3E6F"/>
    <w:rsid w:val="00DF52B5"/>
    <w:rsid w:val="00DF607A"/>
    <w:rsid w:val="00DF76DD"/>
    <w:rsid w:val="00E0078A"/>
    <w:rsid w:val="00E0136F"/>
    <w:rsid w:val="00E01D6D"/>
    <w:rsid w:val="00E0268C"/>
    <w:rsid w:val="00E0288B"/>
    <w:rsid w:val="00E0549A"/>
    <w:rsid w:val="00E06057"/>
    <w:rsid w:val="00E068FC"/>
    <w:rsid w:val="00E06C88"/>
    <w:rsid w:val="00E108EF"/>
    <w:rsid w:val="00E11535"/>
    <w:rsid w:val="00E117D9"/>
    <w:rsid w:val="00E12492"/>
    <w:rsid w:val="00E12A89"/>
    <w:rsid w:val="00E12DB1"/>
    <w:rsid w:val="00E13D62"/>
    <w:rsid w:val="00E145F6"/>
    <w:rsid w:val="00E159A8"/>
    <w:rsid w:val="00E16776"/>
    <w:rsid w:val="00E16883"/>
    <w:rsid w:val="00E22127"/>
    <w:rsid w:val="00E2297A"/>
    <w:rsid w:val="00E22C58"/>
    <w:rsid w:val="00E24FA4"/>
    <w:rsid w:val="00E25B88"/>
    <w:rsid w:val="00E265FD"/>
    <w:rsid w:val="00E267FE"/>
    <w:rsid w:val="00E302E3"/>
    <w:rsid w:val="00E307ED"/>
    <w:rsid w:val="00E3227D"/>
    <w:rsid w:val="00E33B35"/>
    <w:rsid w:val="00E33C64"/>
    <w:rsid w:val="00E341F0"/>
    <w:rsid w:val="00E36930"/>
    <w:rsid w:val="00E36B6A"/>
    <w:rsid w:val="00E41FCE"/>
    <w:rsid w:val="00E44378"/>
    <w:rsid w:val="00E446E8"/>
    <w:rsid w:val="00E44919"/>
    <w:rsid w:val="00E45257"/>
    <w:rsid w:val="00E46975"/>
    <w:rsid w:val="00E470B2"/>
    <w:rsid w:val="00E4788A"/>
    <w:rsid w:val="00E47911"/>
    <w:rsid w:val="00E4794A"/>
    <w:rsid w:val="00E47C78"/>
    <w:rsid w:val="00E50E6B"/>
    <w:rsid w:val="00E5370E"/>
    <w:rsid w:val="00E54358"/>
    <w:rsid w:val="00E56429"/>
    <w:rsid w:val="00E57D3A"/>
    <w:rsid w:val="00E604B6"/>
    <w:rsid w:val="00E606AA"/>
    <w:rsid w:val="00E60BCB"/>
    <w:rsid w:val="00E60BEA"/>
    <w:rsid w:val="00E61766"/>
    <w:rsid w:val="00E61F72"/>
    <w:rsid w:val="00E62D59"/>
    <w:rsid w:val="00E632B4"/>
    <w:rsid w:val="00E6362E"/>
    <w:rsid w:val="00E63687"/>
    <w:rsid w:val="00E63D3B"/>
    <w:rsid w:val="00E6589B"/>
    <w:rsid w:val="00E65E32"/>
    <w:rsid w:val="00E6768C"/>
    <w:rsid w:val="00E7035E"/>
    <w:rsid w:val="00E70506"/>
    <w:rsid w:val="00E70BB6"/>
    <w:rsid w:val="00E72442"/>
    <w:rsid w:val="00E7411C"/>
    <w:rsid w:val="00E7412E"/>
    <w:rsid w:val="00E74697"/>
    <w:rsid w:val="00E76D2B"/>
    <w:rsid w:val="00E80C95"/>
    <w:rsid w:val="00E810E1"/>
    <w:rsid w:val="00E81199"/>
    <w:rsid w:val="00E82503"/>
    <w:rsid w:val="00E84AFB"/>
    <w:rsid w:val="00E84B40"/>
    <w:rsid w:val="00E8505B"/>
    <w:rsid w:val="00E851A9"/>
    <w:rsid w:val="00E854FF"/>
    <w:rsid w:val="00E862C0"/>
    <w:rsid w:val="00E91933"/>
    <w:rsid w:val="00E91A41"/>
    <w:rsid w:val="00E94839"/>
    <w:rsid w:val="00E97106"/>
    <w:rsid w:val="00EA044E"/>
    <w:rsid w:val="00EA09D5"/>
    <w:rsid w:val="00EA1BDB"/>
    <w:rsid w:val="00EA1CCE"/>
    <w:rsid w:val="00EA26D6"/>
    <w:rsid w:val="00EA347C"/>
    <w:rsid w:val="00EA49CF"/>
    <w:rsid w:val="00EA6496"/>
    <w:rsid w:val="00EA6D67"/>
    <w:rsid w:val="00EB01C6"/>
    <w:rsid w:val="00EB2DB7"/>
    <w:rsid w:val="00EB4EEB"/>
    <w:rsid w:val="00EC036D"/>
    <w:rsid w:val="00EC1D0F"/>
    <w:rsid w:val="00EC23DA"/>
    <w:rsid w:val="00EC2FEB"/>
    <w:rsid w:val="00EC3945"/>
    <w:rsid w:val="00EC3CE8"/>
    <w:rsid w:val="00EC443A"/>
    <w:rsid w:val="00EC4D58"/>
    <w:rsid w:val="00EC4FBB"/>
    <w:rsid w:val="00EC50E3"/>
    <w:rsid w:val="00EC6104"/>
    <w:rsid w:val="00EC677F"/>
    <w:rsid w:val="00ED104A"/>
    <w:rsid w:val="00ED4858"/>
    <w:rsid w:val="00ED51DE"/>
    <w:rsid w:val="00ED67D9"/>
    <w:rsid w:val="00ED780A"/>
    <w:rsid w:val="00ED7FCD"/>
    <w:rsid w:val="00EE10AB"/>
    <w:rsid w:val="00EE132F"/>
    <w:rsid w:val="00EE1D08"/>
    <w:rsid w:val="00EE28E5"/>
    <w:rsid w:val="00EE43C9"/>
    <w:rsid w:val="00EE599B"/>
    <w:rsid w:val="00EE59A5"/>
    <w:rsid w:val="00EE5E88"/>
    <w:rsid w:val="00EE64A3"/>
    <w:rsid w:val="00EE6CDB"/>
    <w:rsid w:val="00EE7965"/>
    <w:rsid w:val="00EF1852"/>
    <w:rsid w:val="00EF272A"/>
    <w:rsid w:val="00EF5D93"/>
    <w:rsid w:val="00EF6088"/>
    <w:rsid w:val="00EF71BA"/>
    <w:rsid w:val="00EF7CB1"/>
    <w:rsid w:val="00EF7FFA"/>
    <w:rsid w:val="00F02766"/>
    <w:rsid w:val="00F029B1"/>
    <w:rsid w:val="00F03175"/>
    <w:rsid w:val="00F03E47"/>
    <w:rsid w:val="00F049F1"/>
    <w:rsid w:val="00F05FE8"/>
    <w:rsid w:val="00F05FEF"/>
    <w:rsid w:val="00F10BB5"/>
    <w:rsid w:val="00F11B70"/>
    <w:rsid w:val="00F14615"/>
    <w:rsid w:val="00F14EDE"/>
    <w:rsid w:val="00F15084"/>
    <w:rsid w:val="00F160D1"/>
    <w:rsid w:val="00F21902"/>
    <w:rsid w:val="00F22382"/>
    <w:rsid w:val="00F23AF7"/>
    <w:rsid w:val="00F23D56"/>
    <w:rsid w:val="00F23D5C"/>
    <w:rsid w:val="00F24C2B"/>
    <w:rsid w:val="00F24C6F"/>
    <w:rsid w:val="00F254F0"/>
    <w:rsid w:val="00F25E47"/>
    <w:rsid w:val="00F276BD"/>
    <w:rsid w:val="00F306F4"/>
    <w:rsid w:val="00F30A5C"/>
    <w:rsid w:val="00F31288"/>
    <w:rsid w:val="00F3135C"/>
    <w:rsid w:val="00F31535"/>
    <w:rsid w:val="00F317F8"/>
    <w:rsid w:val="00F37745"/>
    <w:rsid w:val="00F37FAA"/>
    <w:rsid w:val="00F411C3"/>
    <w:rsid w:val="00F42407"/>
    <w:rsid w:val="00F424B1"/>
    <w:rsid w:val="00F430FE"/>
    <w:rsid w:val="00F43E53"/>
    <w:rsid w:val="00F44043"/>
    <w:rsid w:val="00F453C5"/>
    <w:rsid w:val="00F45484"/>
    <w:rsid w:val="00F47BE0"/>
    <w:rsid w:val="00F506A4"/>
    <w:rsid w:val="00F51C46"/>
    <w:rsid w:val="00F5280E"/>
    <w:rsid w:val="00F52CE2"/>
    <w:rsid w:val="00F5371A"/>
    <w:rsid w:val="00F5453E"/>
    <w:rsid w:val="00F54C40"/>
    <w:rsid w:val="00F54E35"/>
    <w:rsid w:val="00F6078B"/>
    <w:rsid w:val="00F64844"/>
    <w:rsid w:val="00F648D4"/>
    <w:rsid w:val="00F65EE5"/>
    <w:rsid w:val="00F670F0"/>
    <w:rsid w:val="00F6791B"/>
    <w:rsid w:val="00F67B04"/>
    <w:rsid w:val="00F70B20"/>
    <w:rsid w:val="00F719E2"/>
    <w:rsid w:val="00F71AFE"/>
    <w:rsid w:val="00F72BD3"/>
    <w:rsid w:val="00F7322B"/>
    <w:rsid w:val="00F7444C"/>
    <w:rsid w:val="00F75A0F"/>
    <w:rsid w:val="00F75BC4"/>
    <w:rsid w:val="00F762B5"/>
    <w:rsid w:val="00F763BE"/>
    <w:rsid w:val="00F76614"/>
    <w:rsid w:val="00F76CC8"/>
    <w:rsid w:val="00F7754B"/>
    <w:rsid w:val="00F77A29"/>
    <w:rsid w:val="00F805CC"/>
    <w:rsid w:val="00F808F3"/>
    <w:rsid w:val="00F81367"/>
    <w:rsid w:val="00F82B56"/>
    <w:rsid w:val="00F85CDE"/>
    <w:rsid w:val="00F878E5"/>
    <w:rsid w:val="00F87A86"/>
    <w:rsid w:val="00F902B4"/>
    <w:rsid w:val="00F90B47"/>
    <w:rsid w:val="00F90EF7"/>
    <w:rsid w:val="00F91BB7"/>
    <w:rsid w:val="00F9343B"/>
    <w:rsid w:val="00F93477"/>
    <w:rsid w:val="00F93B0E"/>
    <w:rsid w:val="00F93FE2"/>
    <w:rsid w:val="00F964EF"/>
    <w:rsid w:val="00F9751E"/>
    <w:rsid w:val="00F97D6A"/>
    <w:rsid w:val="00FA0FF6"/>
    <w:rsid w:val="00FA2268"/>
    <w:rsid w:val="00FA2635"/>
    <w:rsid w:val="00FA2A81"/>
    <w:rsid w:val="00FA379D"/>
    <w:rsid w:val="00FA413D"/>
    <w:rsid w:val="00FA7946"/>
    <w:rsid w:val="00FA7D1C"/>
    <w:rsid w:val="00FB03DA"/>
    <w:rsid w:val="00FB0D3C"/>
    <w:rsid w:val="00FB2090"/>
    <w:rsid w:val="00FB2DE7"/>
    <w:rsid w:val="00FB3F1C"/>
    <w:rsid w:val="00FB567D"/>
    <w:rsid w:val="00FB713B"/>
    <w:rsid w:val="00FC06E6"/>
    <w:rsid w:val="00FC08DD"/>
    <w:rsid w:val="00FC19EC"/>
    <w:rsid w:val="00FC1CCD"/>
    <w:rsid w:val="00FC257E"/>
    <w:rsid w:val="00FC42A1"/>
    <w:rsid w:val="00FC4B7A"/>
    <w:rsid w:val="00FC5201"/>
    <w:rsid w:val="00FC6648"/>
    <w:rsid w:val="00FC6F5F"/>
    <w:rsid w:val="00FC7406"/>
    <w:rsid w:val="00FD14C0"/>
    <w:rsid w:val="00FD2A72"/>
    <w:rsid w:val="00FD5611"/>
    <w:rsid w:val="00FD6154"/>
    <w:rsid w:val="00FD70F3"/>
    <w:rsid w:val="00FD79A0"/>
    <w:rsid w:val="00FE003D"/>
    <w:rsid w:val="00FE0A94"/>
    <w:rsid w:val="00FE2ECF"/>
    <w:rsid w:val="00FE3A0C"/>
    <w:rsid w:val="00FF0536"/>
    <w:rsid w:val="00FF0733"/>
    <w:rsid w:val="00FF2E0F"/>
    <w:rsid w:val="00FF42E4"/>
    <w:rsid w:val="00FF444D"/>
    <w:rsid w:val="00FF4EED"/>
    <w:rsid w:val="00FF508D"/>
    <w:rsid w:val="00FF783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3F054D"/>
  <w15:docId w15:val="{CD68639B-0FB0-F041-A4C8-AAAB20F81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DE" w:eastAsia="en-US" w:bidi="ar-SA"/>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uiPriority="2"/>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MC_Standard (ALT + S)"/>
    <w:qFormat/>
    <w:rsid w:val="000A01FD"/>
    <w:pPr>
      <w:spacing w:after="260" w:line="260" w:lineRule="atLeast"/>
    </w:pPr>
  </w:style>
  <w:style w:type="paragraph" w:styleId="berschrift1">
    <w:name w:val="heading 1"/>
    <w:aliases w:val="SMC_Überschrift 1 (ALT + 1)"/>
    <w:basedOn w:val="Standard"/>
    <w:next w:val="Standard"/>
    <w:link w:val="berschrift1Zchn"/>
    <w:uiPriority w:val="6"/>
    <w:rsid w:val="00966A6A"/>
    <w:pPr>
      <w:keepNext/>
      <w:keepLines/>
      <w:numPr>
        <w:numId w:val="2"/>
      </w:numPr>
      <w:suppressAutoHyphens/>
      <w:spacing w:before="360" w:after="240" w:line="340" w:lineRule="atLeast"/>
      <w:outlineLvl w:val="0"/>
    </w:pPr>
    <w:rPr>
      <w:rFonts w:asciiTheme="majorHAnsi" w:eastAsiaTheme="majorEastAsia" w:hAnsiTheme="majorHAnsi" w:cstheme="majorBidi"/>
      <w:color w:val="2A60AA" w:themeColor="accent1"/>
      <w:sz w:val="28"/>
      <w:szCs w:val="32"/>
    </w:rPr>
  </w:style>
  <w:style w:type="paragraph" w:styleId="berschrift2">
    <w:name w:val="heading 2"/>
    <w:aliases w:val="SMC_Überschrift 2 (ALT + 2)"/>
    <w:basedOn w:val="berschrift1"/>
    <w:next w:val="Standard"/>
    <w:link w:val="berschrift2Zchn"/>
    <w:uiPriority w:val="6"/>
    <w:unhideWhenUsed/>
    <w:rsid w:val="00F6791B"/>
    <w:pPr>
      <w:numPr>
        <w:ilvl w:val="1"/>
      </w:numPr>
      <w:spacing w:after="300" w:line="260" w:lineRule="atLeast"/>
      <w:outlineLvl w:val="1"/>
    </w:pPr>
    <w:rPr>
      <w:sz w:val="24"/>
      <w:szCs w:val="26"/>
    </w:rPr>
  </w:style>
  <w:style w:type="paragraph" w:styleId="berschrift3">
    <w:name w:val="heading 3"/>
    <w:aliases w:val="SMC_Überschrift 3 (ALT + 3)"/>
    <w:basedOn w:val="berschrift2"/>
    <w:next w:val="Standard"/>
    <w:link w:val="berschrift3Zchn"/>
    <w:uiPriority w:val="6"/>
    <w:unhideWhenUsed/>
    <w:rsid w:val="00F6791B"/>
    <w:pPr>
      <w:numPr>
        <w:ilvl w:val="2"/>
      </w:numPr>
      <w:outlineLvl w:val="2"/>
    </w:pPr>
    <w:rPr>
      <w:color w:val="auto"/>
      <w:szCs w:val="24"/>
    </w:rPr>
  </w:style>
  <w:style w:type="paragraph" w:styleId="berschrift4">
    <w:name w:val="heading 4"/>
    <w:aliases w:val="SMC_Überschrift 4"/>
    <w:basedOn w:val="berschrift3"/>
    <w:next w:val="Standard"/>
    <w:link w:val="berschrift4Zchn"/>
    <w:uiPriority w:val="6"/>
    <w:unhideWhenUsed/>
    <w:rsid w:val="00F6791B"/>
    <w:pPr>
      <w:numPr>
        <w:ilvl w:val="3"/>
      </w:numPr>
      <w:outlineLvl w:val="3"/>
    </w:pPr>
    <w:rPr>
      <w:iCs/>
    </w:rPr>
  </w:style>
  <w:style w:type="paragraph" w:styleId="berschrift5">
    <w:name w:val="heading 5"/>
    <w:basedOn w:val="Standard"/>
    <w:next w:val="Standard"/>
    <w:link w:val="berschrift5Zchn"/>
    <w:uiPriority w:val="9"/>
    <w:semiHidden/>
    <w:qFormat/>
    <w:rsid w:val="00F6791B"/>
    <w:pPr>
      <w:keepNext/>
      <w:keepLines/>
      <w:spacing w:before="40" w:after="0"/>
      <w:outlineLvl w:val="4"/>
    </w:pPr>
    <w:rPr>
      <w:rFonts w:asciiTheme="majorHAnsi" w:eastAsiaTheme="majorEastAsia" w:hAnsiTheme="majorHAnsi" w:cstheme="majorBidi"/>
      <w:color w:val="1F477F" w:themeColor="accent1" w:themeShade="BF"/>
    </w:rPr>
  </w:style>
  <w:style w:type="paragraph" w:styleId="berschrift6">
    <w:name w:val="heading 6"/>
    <w:basedOn w:val="Standard"/>
    <w:next w:val="Standard"/>
    <w:link w:val="berschrift6Zchn"/>
    <w:uiPriority w:val="9"/>
    <w:semiHidden/>
    <w:qFormat/>
    <w:rsid w:val="00F6791B"/>
    <w:pPr>
      <w:keepNext/>
      <w:keepLines/>
      <w:spacing w:before="40" w:after="0"/>
      <w:outlineLvl w:val="5"/>
    </w:pPr>
    <w:rPr>
      <w:rFonts w:asciiTheme="majorHAnsi" w:eastAsiaTheme="majorEastAsia" w:hAnsiTheme="majorHAnsi" w:cstheme="majorBidi"/>
      <w:color w:val="152F54"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unhideWhenUsed/>
    <w:rsid w:val="005D6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MCTabelle-ohne-Rahmen">
    <w:name w:val="SMC_Tabelle-ohne-Rahmen"/>
    <w:basedOn w:val="NormaleTabelle"/>
    <w:uiPriority w:val="99"/>
    <w:rsid w:val="00ED7FCD"/>
    <w:pPr>
      <w:spacing w:after="0" w:line="240" w:lineRule="auto"/>
      <w:ind w:right="113"/>
    </w:pPr>
    <w:tblPr>
      <w:tblCellMar>
        <w:left w:w="0" w:type="dxa"/>
        <w:right w:w="0" w:type="dxa"/>
      </w:tblCellMar>
    </w:tblPr>
  </w:style>
  <w:style w:type="paragraph" w:customStyle="1" w:styleId="SMCUntertitel">
    <w:name w:val="SMC_Untertitel"/>
    <w:basedOn w:val="Standard"/>
    <w:uiPriority w:val="1"/>
    <w:rsid w:val="00C01362"/>
    <w:pPr>
      <w:keepNext/>
      <w:keepLines/>
      <w:suppressAutoHyphens/>
      <w:spacing w:before="240" w:after="240"/>
    </w:pPr>
    <w:rPr>
      <w:color w:val="2A60AA" w:themeColor="accent1"/>
      <w:sz w:val="24"/>
    </w:rPr>
  </w:style>
  <w:style w:type="character" w:styleId="Fett">
    <w:name w:val="Strong"/>
    <w:aliases w:val="SMC_Fett"/>
    <w:basedOn w:val="Absatz-Standardschriftart"/>
    <w:uiPriority w:val="1"/>
    <w:qFormat/>
    <w:rsid w:val="004C081E"/>
    <w:rPr>
      <w:b/>
      <w:bCs/>
    </w:rPr>
  </w:style>
  <w:style w:type="character" w:styleId="IntensiveHervorhebung">
    <w:name w:val="Intense Emphasis"/>
    <w:aliases w:val="SMC_Intensive Hervorhebung"/>
    <w:basedOn w:val="Absatz-Standardschriftart"/>
    <w:uiPriority w:val="2"/>
    <w:semiHidden/>
    <w:qFormat/>
    <w:rsid w:val="004C081E"/>
    <w:rPr>
      <w:b/>
      <w:i w:val="0"/>
      <w:iCs/>
      <w:color w:val="2A60AA" w:themeColor="accent1"/>
    </w:rPr>
  </w:style>
  <w:style w:type="character" w:customStyle="1" w:styleId="berschrift1Zchn">
    <w:name w:val="Überschrift 1 Zchn"/>
    <w:aliases w:val="SMC_Überschrift 1 (ALT + 1) Zchn"/>
    <w:basedOn w:val="Absatz-Standardschriftart"/>
    <w:link w:val="berschrift1"/>
    <w:uiPriority w:val="6"/>
    <w:rsid w:val="00D53BE5"/>
    <w:rPr>
      <w:rFonts w:asciiTheme="majorHAnsi" w:eastAsiaTheme="majorEastAsia" w:hAnsiTheme="majorHAnsi" w:cstheme="majorBidi"/>
      <w:color w:val="2A60AA" w:themeColor="accent1"/>
      <w:sz w:val="28"/>
      <w:szCs w:val="32"/>
    </w:rPr>
  </w:style>
  <w:style w:type="character" w:customStyle="1" w:styleId="berschrift2Zchn">
    <w:name w:val="Überschrift 2 Zchn"/>
    <w:aliases w:val="SMC_Überschrift 2 (ALT + 2) Zchn"/>
    <w:basedOn w:val="Absatz-Standardschriftart"/>
    <w:link w:val="berschrift2"/>
    <w:uiPriority w:val="6"/>
    <w:rsid w:val="00D53BE5"/>
    <w:rPr>
      <w:rFonts w:asciiTheme="majorHAnsi" w:eastAsiaTheme="majorEastAsia" w:hAnsiTheme="majorHAnsi" w:cstheme="majorBidi"/>
      <w:color w:val="2A60AA" w:themeColor="accent1"/>
      <w:sz w:val="24"/>
      <w:szCs w:val="26"/>
    </w:rPr>
  </w:style>
  <w:style w:type="character" w:customStyle="1" w:styleId="berschrift3Zchn">
    <w:name w:val="Überschrift 3 Zchn"/>
    <w:aliases w:val="SMC_Überschrift 3 (ALT + 3) Zchn"/>
    <w:basedOn w:val="Absatz-Standardschriftart"/>
    <w:link w:val="berschrift3"/>
    <w:uiPriority w:val="6"/>
    <w:rsid w:val="00D53BE5"/>
    <w:rPr>
      <w:rFonts w:asciiTheme="majorHAnsi" w:eastAsiaTheme="majorEastAsia" w:hAnsiTheme="majorHAnsi" w:cstheme="majorBidi"/>
      <w:sz w:val="24"/>
      <w:szCs w:val="24"/>
    </w:rPr>
  </w:style>
  <w:style w:type="character" w:customStyle="1" w:styleId="berschrift4Zchn">
    <w:name w:val="Überschrift 4 Zchn"/>
    <w:aliases w:val="SMC_Überschrift 4 Zchn"/>
    <w:basedOn w:val="Absatz-Standardschriftart"/>
    <w:link w:val="berschrift4"/>
    <w:uiPriority w:val="6"/>
    <w:rsid w:val="00D53BE5"/>
    <w:rPr>
      <w:rFonts w:asciiTheme="majorHAnsi" w:eastAsiaTheme="majorEastAsia" w:hAnsiTheme="majorHAnsi" w:cstheme="majorBidi"/>
      <w:iCs/>
      <w:sz w:val="24"/>
      <w:szCs w:val="24"/>
    </w:rPr>
  </w:style>
  <w:style w:type="character" w:customStyle="1" w:styleId="berschrift5Zchn">
    <w:name w:val="Überschrift 5 Zchn"/>
    <w:basedOn w:val="Absatz-Standardschriftart"/>
    <w:link w:val="berschrift5"/>
    <w:uiPriority w:val="9"/>
    <w:semiHidden/>
    <w:rsid w:val="00F6791B"/>
    <w:rPr>
      <w:rFonts w:asciiTheme="majorHAnsi" w:eastAsiaTheme="majorEastAsia" w:hAnsiTheme="majorHAnsi" w:cstheme="majorBidi"/>
      <w:color w:val="1F477F" w:themeColor="accent1" w:themeShade="BF"/>
    </w:rPr>
  </w:style>
  <w:style w:type="paragraph" w:customStyle="1" w:styleId="SMCAufzhlung1ALTQ">
    <w:name w:val="SMC_Aufzählung 1 (ALT + Q)"/>
    <w:basedOn w:val="Standard"/>
    <w:uiPriority w:val="4"/>
    <w:rsid w:val="00A443F8"/>
    <w:pPr>
      <w:numPr>
        <w:numId w:val="7"/>
      </w:numPr>
    </w:pPr>
    <w:rPr>
      <w:rFonts w:eastAsia="Calibri" w:cs="Times New Roman"/>
      <w:szCs w:val="22"/>
    </w:rPr>
  </w:style>
  <w:style w:type="paragraph" w:customStyle="1" w:styleId="SMCAufzhlung2">
    <w:name w:val="SMC_Aufzählung 2"/>
    <w:basedOn w:val="Standard"/>
    <w:uiPriority w:val="4"/>
    <w:rsid w:val="00A443F8"/>
    <w:pPr>
      <w:numPr>
        <w:ilvl w:val="1"/>
        <w:numId w:val="7"/>
      </w:numPr>
    </w:pPr>
    <w:rPr>
      <w:rFonts w:eastAsia="Calibri" w:cs="Times New Roman"/>
      <w:szCs w:val="22"/>
    </w:rPr>
  </w:style>
  <w:style w:type="paragraph" w:customStyle="1" w:styleId="SMCAufzhlung3">
    <w:name w:val="SMC_Aufzählung 3"/>
    <w:basedOn w:val="Standard"/>
    <w:uiPriority w:val="4"/>
    <w:rsid w:val="00A443F8"/>
    <w:pPr>
      <w:numPr>
        <w:ilvl w:val="2"/>
        <w:numId w:val="7"/>
      </w:numPr>
    </w:pPr>
    <w:rPr>
      <w:rFonts w:eastAsia="Calibri" w:cs="Times New Roman"/>
      <w:szCs w:val="22"/>
    </w:rPr>
  </w:style>
  <w:style w:type="numbering" w:customStyle="1" w:styleId="SMCListeAufzhlungen">
    <w:name w:val="SMC_ListeAufzählungen"/>
    <w:basedOn w:val="KeineListe"/>
    <w:uiPriority w:val="99"/>
    <w:rsid w:val="00247F04"/>
    <w:pPr>
      <w:numPr>
        <w:numId w:val="1"/>
      </w:numPr>
    </w:pPr>
  </w:style>
  <w:style w:type="paragraph" w:customStyle="1" w:styleId="SMCEinzugAufz1">
    <w:name w:val="SMC_Einzug Aufz. 1"/>
    <w:basedOn w:val="Standard"/>
    <w:uiPriority w:val="4"/>
    <w:rsid w:val="00A443F8"/>
    <w:pPr>
      <w:numPr>
        <w:numId w:val="8"/>
      </w:numPr>
    </w:pPr>
    <w:rPr>
      <w:szCs w:val="19"/>
    </w:rPr>
  </w:style>
  <w:style w:type="paragraph" w:customStyle="1" w:styleId="SMCEinzugAufz2">
    <w:name w:val="SMC_Einzug Aufz. 2"/>
    <w:basedOn w:val="Standard"/>
    <w:uiPriority w:val="4"/>
    <w:rsid w:val="00A443F8"/>
    <w:pPr>
      <w:numPr>
        <w:ilvl w:val="1"/>
        <w:numId w:val="8"/>
      </w:numPr>
    </w:pPr>
    <w:rPr>
      <w:szCs w:val="19"/>
    </w:rPr>
  </w:style>
  <w:style w:type="paragraph" w:customStyle="1" w:styleId="SMCEinzugAufz3">
    <w:name w:val="SMC_Einzug Aufz. 3"/>
    <w:basedOn w:val="Standard"/>
    <w:uiPriority w:val="4"/>
    <w:rsid w:val="00A443F8"/>
    <w:pPr>
      <w:numPr>
        <w:ilvl w:val="2"/>
        <w:numId w:val="8"/>
      </w:numPr>
    </w:pPr>
    <w:rPr>
      <w:szCs w:val="19"/>
    </w:rPr>
  </w:style>
  <w:style w:type="numbering" w:customStyle="1" w:styleId="SMCListeEinzgeAufzhlungen">
    <w:name w:val="SMC_ListeEinzügeAufzählungen"/>
    <w:basedOn w:val="KeineListe"/>
    <w:uiPriority w:val="99"/>
    <w:rsid w:val="00A443F8"/>
    <w:pPr>
      <w:numPr>
        <w:numId w:val="8"/>
      </w:numPr>
    </w:pPr>
  </w:style>
  <w:style w:type="table" w:customStyle="1" w:styleId="SMCTabelle-mit-Rahmen">
    <w:name w:val="SMC_Tabelle-mit-Rahmen"/>
    <w:basedOn w:val="NormaleTabelle"/>
    <w:uiPriority w:val="99"/>
    <w:rsid w:val="00642185"/>
    <w:pPr>
      <w:spacing w:after="0" w:line="240" w:lineRule="auto"/>
      <w:ind w:left="113"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Funotentext">
    <w:name w:val="footnote text"/>
    <w:aliases w:val="SMC_Fußnotentext"/>
    <w:basedOn w:val="Standard"/>
    <w:link w:val="FunotentextZchn"/>
    <w:uiPriority w:val="99"/>
    <w:rsid w:val="00F029B1"/>
    <w:pPr>
      <w:spacing w:after="0"/>
    </w:pPr>
    <w:rPr>
      <w:color w:val="2690C1" w:themeColor="accent2"/>
      <w:sz w:val="16"/>
    </w:rPr>
  </w:style>
  <w:style w:type="character" w:customStyle="1" w:styleId="FunotentextZchn">
    <w:name w:val="Fußnotentext Zchn"/>
    <w:aliases w:val="SMC_Fußnotentext Zchn"/>
    <w:basedOn w:val="Absatz-Standardschriftart"/>
    <w:link w:val="Funotentext"/>
    <w:uiPriority w:val="99"/>
    <w:rsid w:val="00F029B1"/>
    <w:rPr>
      <w:color w:val="2690C1" w:themeColor="accent2"/>
      <w:sz w:val="16"/>
    </w:rPr>
  </w:style>
  <w:style w:type="character" w:styleId="Funotenzeichen">
    <w:name w:val="footnote reference"/>
    <w:basedOn w:val="Absatz-Standardschriftart"/>
    <w:uiPriority w:val="99"/>
    <w:semiHidden/>
    <w:rsid w:val="00890E0F"/>
    <w:rPr>
      <w:vertAlign w:val="superscript"/>
    </w:rPr>
  </w:style>
  <w:style w:type="paragraph" w:styleId="Verzeichnis1">
    <w:name w:val="toc 1"/>
    <w:aliases w:val="SMC_Verzeichnis 1"/>
    <w:basedOn w:val="Standard"/>
    <w:next w:val="Standard"/>
    <w:uiPriority w:val="39"/>
    <w:unhideWhenUsed/>
    <w:rsid w:val="00275346"/>
    <w:pPr>
      <w:spacing w:after="100"/>
    </w:pPr>
  </w:style>
  <w:style w:type="paragraph" w:styleId="Verzeichnis2">
    <w:name w:val="toc 2"/>
    <w:aliases w:val="SMC_Verzeichnis 2"/>
    <w:basedOn w:val="Standard"/>
    <w:next w:val="Standard"/>
    <w:uiPriority w:val="39"/>
    <w:unhideWhenUsed/>
    <w:rsid w:val="00275346"/>
    <w:pPr>
      <w:spacing w:after="100"/>
      <w:ind w:left="200"/>
    </w:pPr>
  </w:style>
  <w:style w:type="paragraph" w:styleId="Verzeichnis3">
    <w:name w:val="toc 3"/>
    <w:aliases w:val="SMC_Verzeichnis 3"/>
    <w:basedOn w:val="Standard"/>
    <w:next w:val="Standard"/>
    <w:uiPriority w:val="39"/>
    <w:unhideWhenUsed/>
    <w:rsid w:val="00275346"/>
    <w:pPr>
      <w:spacing w:after="100"/>
      <w:ind w:left="400"/>
    </w:pPr>
  </w:style>
  <w:style w:type="paragraph" w:styleId="Verzeichnis4">
    <w:name w:val="toc 4"/>
    <w:aliases w:val="SMC_Verzeichnis 4"/>
    <w:basedOn w:val="Standard"/>
    <w:next w:val="Standard"/>
    <w:uiPriority w:val="39"/>
    <w:unhideWhenUsed/>
    <w:rsid w:val="00275346"/>
    <w:pPr>
      <w:spacing w:after="100"/>
      <w:ind w:left="600"/>
    </w:pPr>
  </w:style>
  <w:style w:type="character" w:styleId="Hyperlink">
    <w:name w:val="Hyperlink"/>
    <w:aliases w:val="SMC_Hyperlink"/>
    <w:basedOn w:val="Absatz-Standardschriftart"/>
    <w:uiPriority w:val="99"/>
    <w:unhideWhenUsed/>
    <w:rsid w:val="00F6791B"/>
    <w:rPr>
      <w:color w:val="53727E"/>
      <w:u w:val="single"/>
      <w:lang w:val="de-DE"/>
    </w:rPr>
  </w:style>
  <w:style w:type="paragraph" w:styleId="Kopfzeile">
    <w:name w:val="header"/>
    <w:basedOn w:val="Standard"/>
    <w:link w:val="KopfzeileZchn"/>
    <w:uiPriority w:val="99"/>
    <w:semiHidden/>
    <w:rsid w:val="00B42C04"/>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3800FA"/>
  </w:style>
  <w:style w:type="paragraph" w:styleId="Fuzeile">
    <w:name w:val="footer"/>
    <w:aliases w:val="SMC_Fußzeile"/>
    <w:basedOn w:val="Standard"/>
    <w:link w:val="FuzeileZchn"/>
    <w:uiPriority w:val="99"/>
    <w:rsid w:val="00CC2B85"/>
    <w:pPr>
      <w:spacing w:after="0" w:line="240" w:lineRule="auto"/>
      <w:jc w:val="right"/>
    </w:pPr>
    <w:rPr>
      <w:sz w:val="16"/>
    </w:rPr>
  </w:style>
  <w:style w:type="character" w:customStyle="1" w:styleId="FuzeileZchn">
    <w:name w:val="Fußzeile Zchn"/>
    <w:aliases w:val="SMC_Fußzeile Zchn"/>
    <w:basedOn w:val="Absatz-Standardschriftart"/>
    <w:link w:val="Fuzeile"/>
    <w:uiPriority w:val="99"/>
    <w:rsid w:val="00CC2B85"/>
    <w:rPr>
      <w:sz w:val="16"/>
    </w:rPr>
  </w:style>
  <w:style w:type="numbering" w:customStyle="1" w:styleId="SMCListeberschriften">
    <w:name w:val="SMC_ListeÜberschriften"/>
    <w:basedOn w:val="KeineListe"/>
    <w:uiPriority w:val="99"/>
    <w:rsid w:val="00966A6A"/>
    <w:pPr>
      <w:numPr>
        <w:numId w:val="2"/>
      </w:numPr>
    </w:pPr>
  </w:style>
  <w:style w:type="character" w:customStyle="1" w:styleId="berschrift6Zchn">
    <w:name w:val="Überschrift 6 Zchn"/>
    <w:basedOn w:val="Absatz-Standardschriftart"/>
    <w:link w:val="berschrift6"/>
    <w:uiPriority w:val="9"/>
    <w:semiHidden/>
    <w:rsid w:val="00F6791B"/>
    <w:rPr>
      <w:rFonts w:asciiTheme="majorHAnsi" w:eastAsiaTheme="majorEastAsia" w:hAnsiTheme="majorHAnsi" w:cstheme="majorBidi"/>
      <w:color w:val="152F54" w:themeColor="accent1" w:themeShade="7F"/>
    </w:rPr>
  </w:style>
  <w:style w:type="paragraph" w:customStyle="1" w:styleId="SMCberschrift1ohneInhaltsverzeichnis">
    <w:name w:val="SMC_Überschrift 1_ohne_Inhaltsverzeichnis"/>
    <w:basedOn w:val="Standard"/>
    <w:uiPriority w:val="6"/>
    <w:rsid w:val="00C9397B"/>
    <w:pPr>
      <w:keepNext/>
      <w:keepLines/>
      <w:spacing w:before="360" w:after="240" w:line="340" w:lineRule="atLeast"/>
    </w:pPr>
    <w:rPr>
      <w:color w:val="2A60AA" w:themeColor="accent1"/>
      <w:sz w:val="28"/>
      <w:szCs w:val="19"/>
    </w:rPr>
  </w:style>
  <w:style w:type="paragraph" w:customStyle="1" w:styleId="SMCTabelleberschrift">
    <w:name w:val="SMC_Tabelle_Überschrift"/>
    <w:basedOn w:val="Standard"/>
    <w:uiPriority w:val="99"/>
    <w:semiHidden/>
    <w:rsid w:val="00F6791B"/>
    <w:pPr>
      <w:shd w:val="clear" w:color="auto" w:fill="2690C1" w:themeFill="accent2"/>
      <w:spacing w:after="0" w:line="280" w:lineRule="exact"/>
    </w:pPr>
    <w:rPr>
      <w:b/>
      <w:color w:val="FFFFFF" w:themeColor="background1"/>
      <w:sz w:val="19"/>
      <w:szCs w:val="19"/>
    </w:rPr>
  </w:style>
  <w:style w:type="paragraph" w:customStyle="1" w:styleId="SMCStandardTabelle">
    <w:name w:val="SMC_Standard_Tabelle"/>
    <w:uiPriority w:val="9"/>
    <w:rsid w:val="00B32320"/>
    <w:pPr>
      <w:spacing w:after="260" w:line="260" w:lineRule="atLeast"/>
      <w:ind w:left="113" w:right="113"/>
    </w:pPr>
    <w:rPr>
      <w:szCs w:val="19"/>
    </w:rPr>
  </w:style>
  <w:style w:type="paragraph" w:customStyle="1" w:styleId="SMCStandardTabelleHeadline">
    <w:name w:val="SMC_Standard_Tabelle_Headline"/>
    <w:basedOn w:val="SMCStandardTabelle"/>
    <w:next w:val="SMCStandardTabelle"/>
    <w:uiPriority w:val="8"/>
    <w:rsid w:val="00F6791B"/>
    <w:pPr>
      <w:spacing w:after="0"/>
    </w:pPr>
    <w:rPr>
      <w:b/>
      <w:sz w:val="22"/>
    </w:rPr>
  </w:style>
  <w:style w:type="paragraph" w:customStyle="1" w:styleId="SMCZwischentitel">
    <w:name w:val="SMC_Zwischentitel"/>
    <w:basedOn w:val="Standard"/>
    <w:next w:val="Standard"/>
    <w:uiPriority w:val="6"/>
    <w:rsid w:val="005C7C62"/>
    <w:pPr>
      <w:keepLines/>
      <w:spacing w:before="360" w:after="120"/>
    </w:pPr>
    <w:rPr>
      <w:rFonts w:asciiTheme="majorHAnsi" w:eastAsiaTheme="majorEastAsia" w:hAnsiTheme="majorHAnsi" w:cstheme="majorBidi"/>
      <w:b/>
      <w:szCs w:val="32"/>
    </w:rPr>
  </w:style>
  <w:style w:type="paragraph" w:customStyle="1" w:styleId="SMCNummerierung1ALTE">
    <w:name w:val="SMC_Nummerierung 1 (ALT + E)"/>
    <w:basedOn w:val="Standard"/>
    <w:uiPriority w:val="2"/>
    <w:rsid w:val="00AA6891"/>
    <w:pPr>
      <w:numPr>
        <w:numId w:val="3"/>
      </w:numPr>
    </w:pPr>
    <w:rPr>
      <w:szCs w:val="19"/>
    </w:rPr>
  </w:style>
  <w:style w:type="numbering" w:customStyle="1" w:styleId="SMCListeNummerierungen">
    <w:name w:val="SMC_ListeNummerierungen"/>
    <w:basedOn w:val="KeineListe"/>
    <w:uiPriority w:val="99"/>
    <w:rsid w:val="00AA6891"/>
    <w:pPr>
      <w:numPr>
        <w:numId w:val="3"/>
      </w:numPr>
    </w:pPr>
  </w:style>
  <w:style w:type="paragraph" w:customStyle="1" w:styleId="SMCNummerierungHeadline">
    <w:name w:val="SMC_Nummerierung_Headline"/>
    <w:basedOn w:val="SMCAufzhlung1ALTQ"/>
    <w:next w:val="SMCNummerierung1ALTE"/>
    <w:uiPriority w:val="99"/>
    <w:semiHidden/>
    <w:rsid w:val="007A06D2"/>
    <w:pPr>
      <w:numPr>
        <w:numId w:val="0"/>
      </w:numPr>
      <w:spacing w:after="130" w:line="300" w:lineRule="atLeast"/>
    </w:pPr>
    <w:rPr>
      <w:sz w:val="22"/>
    </w:rPr>
  </w:style>
  <w:style w:type="paragraph" w:customStyle="1" w:styleId="SMCNummerierung2ALTZ">
    <w:name w:val="SMC_Nummerierung 2 (ALT + Z)"/>
    <w:basedOn w:val="Standard"/>
    <w:uiPriority w:val="2"/>
    <w:rsid w:val="00AA6891"/>
    <w:pPr>
      <w:numPr>
        <w:ilvl w:val="1"/>
        <w:numId w:val="3"/>
      </w:numPr>
    </w:pPr>
  </w:style>
  <w:style w:type="paragraph" w:customStyle="1" w:styleId="SMCNummerierung3">
    <w:name w:val="SMC_Nummerierung 3"/>
    <w:basedOn w:val="Standard"/>
    <w:uiPriority w:val="2"/>
    <w:rsid w:val="00AA6891"/>
    <w:pPr>
      <w:numPr>
        <w:ilvl w:val="2"/>
        <w:numId w:val="3"/>
      </w:numPr>
    </w:pPr>
  </w:style>
  <w:style w:type="paragraph" w:customStyle="1" w:styleId="SMCEinzugNum1">
    <w:name w:val="SMC_Einzug Num 1"/>
    <w:basedOn w:val="Standard"/>
    <w:uiPriority w:val="3"/>
    <w:rsid w:val="00A443F8"/>
    <w:pPr>
      <w:numPr>
        <w:numId w:val="9"/>
      </w:numPr>
    </w:pPr>
  </w:style>
  <w:style w:type="paragraph" w:customStyle="1" w:styleId="SMCEinzugNum2">
    <w:name w:val="SMC_Einzug Num 2"/>
    <w:basedOn w:val="Standard"/>
    <w:uiPriority w:val="3"/>
    <w:rsid w:val="00A443F8"/>
    <w:pPr>
      <w:numPr>
        <w:ilvl w:val="1"/>
        <w:numId w:val="9"/>
      </w:numPr>
    </w:pPr>
  </w:style>
  <w:style w:type="paragraph" w:customStyle="1" w:styleId="SMCEinzugNum3">
    <w:name w:val="SMC_Einzug Num 3"/>
    <w:basedOn w:val="Standard"/>
    <w:uiPriority w:val="3"/>
    <w:rsid w:val="00A443F8"/>
    <w:pPr>
      <w:numPr>
        <w:ilvl w:val="2"/>
        <w:numId w:val="9"/>
      </w:numPr>
    </w:pPr>
  </w:style>
  <w:style w:type="numbering" w:customStyle="1" w:styleId="SMCListeEinzgeNummerierungen">
    <w:name w:val="SMC_ListeEinzügeNummerierungen"/>
    <w:basedOn w:val="KeineListe"/>
    <w:uiPriority w:val="99"/>
    <w:rsid w:val="00A443F8"/>
    <w:pPr>
      <w:numPr>
        <w:numId w:val="9"/>
      </w:numPr>
    </w:pPr>
  </w:style>
  <w:style w:type="character" w:customStyle="1" w:styleId="SMCKursiv">
    <w:name w:val="SMC_Kursiv"/>
    <w:basedOn w:val="Absatz-Standardschriftart"/>
    <w:uiPriority w:val="1"/>
    <w:qFormat/>
    <w:rsid w:val="00A443F8"/>
    <w:rPr>
      <w:i/>
    </w:rPr>
  </w:style>
  <w:style w:type="character" w:customStyle="1" w:styleId="SMCFettKursiv">
    <w:name w:val="SMC_Fett + Kursiv"/>
    <w:basedOn w:val="Absatz-Standardschriftart"/>
    <w:uiPriority w:val="1"/>
    <w:qFormat/>
    <w:rsid w:val="00DF09FB"/>
    <w:rPr>
      <w:b/>
      <w:i/>
    </w:rPr>
  </w:style>
  <w:style w:type="numbering" w:customStyle="1" w:styleId="SMCListeBullets">
    <w:name w:val="SMC_ListeBullets"/>
    <w:basedOn w:val="KeineListe"/>
    <w:uiPriority w:val="99"/>
    <w:rsid w:val="00A443F8"/>
    <w:pPr>
      <w:numPr>
        <w:numId w:val="7"/>
      </w:numPr>
    </w:pPr>
  </w:style>
  <w:style w:type="numbering" w:customStyle="1" w:styleId="SMCListeStatement">
    <w:name w:val="SMC_Liste Statement"/>
    <w:basedOn w:val="KeineListe"/>
    <w:uiPriority w:val="99"/>
    <w:rsid w:val="00087D09"/>
    <w:pPr>
      <w:numPr>
        <w:numId w:val="4"/>
      </w:numPr>
    </w:pPr>
  </w:style>
  <w:style w:type="paragraph" w:customStyle="1" w:styleId="SMCKastenblauAltK">
    <w:name w:val="SMC_Kasten_blau (Alt + K)"/>
    <w:basedOn w:val="Standard"/>
    <w:uiPriority w:val="44"/>
    <w:rsid w:val="00A443F8"/>
    <w:pPr>
      <w:pBdr>
        <w:top w:val="single" w:sz="4" w:space="13" w:color="2A60AA" w:themeColor="accent1"/>
        <w:left w:val="single" w:sz="4" w:space="13" w:color="2A60AA" w:themeColor="accent1"/>
        <w:bottom w:val="single" w:sz="4" w:space="13" w:color="2A60AA" w:themeColor="accent1"/>
        <w:right w:val="single" w:sz="4" w:space="13" w:color="2A60AA" w:themeColor="accent1"/>
      </w:pBdr>
      <w:shd w:val="clear" w:color="auto" w:fill="2A60AA" w:themeFill="accent1"/>
      <w:spacing w:line="264" w:lineRule="auto"/>
      <w:ind w:left="284" w:right="284"/>
    </w:pPr>
    <w:rPr>
      <w:color w:val="FFFFFF" w:themeColor="background1"/>
    </w:rPr>
  </w:style>
  <w:style w:type="paragraph" w:customStyle="1" w:styleId="SMCKastenblauAufzhlung1">
    <w:name w:val="SMC_Kasten_blau_Aufzählung 1"/>
    <w:basedOn w:val="SMCKastenblauAltK"/>
    <w:uiPriority w:val="44"/>
    <w:rsid w:val="00A443F8"/>
    <w:pPr>
      <w:numPr>
        <w:numId w:val="10"/>
      </w:numPr>
    </w:pPr>
  </w:style>
  <w:style w:type="paragraph" w:customStyle="1" w:styleId="SMCKastenblauAufzhlung2">
    <w:name w:val="SMC_Kasten_blau_Aufzählung 2"/>
    <w:basedOn w:val="SMCKastenblauAltK"/>
    <w:uiPriority w:val="44"/>
    <w:semiHidden/>
    <w:rsid w:val="00A443F8"/>
    <w:pPr>
      <w:numPr>
        <w:ilvl w:val="1"/>
        <w:numId w:val="5"/>
      </w:numPr>
    </w:pPr>
  </w:style>
  <w:style w:type="paragraph" w:customStyle="1" w:styleId="SMCKastenblauAufzhlung3">
    <w:name w:val="SMC_Kasten_blau_Aufzählung 3"/>
    <w:basedOn w:val="SMCKastenblauAufzhlung1"/>
    <w:uiPriority w:val="44"/>
    <w:semiHidden/>
    <w:rsid w:val="00A443F8"/>
    <w:pPr>
      <w:numPr>
        <w:ilvl w:val="2"/>
      </w:numPr>
    </w:pPr>
  </w:style>
  <w:style w:type="paragraph" w:customStyle="1" w:styleId="SMCKastenblauStatement">
    <w:name w:val="SMC_Kasten_blau_Statement"/>
    <w:basedOn w:val="SMCKastenblauAufzhlung3"/>
    <w:uiPriority w:val="44"/>
    <w:rsid w:val="00A443F8"/>
    <w:pPr>
      <w:numPr>
        <w:ilvl w:val="1"/>
      </w:numPr>
      <w:spacing w:line="300" w:lineRule="atLeast"/>
    </w:pPr>
    <w:rPr>
      <w:sz w:val="22"/>
    </w:rPr>
  </w:style>
  <w:style w:type="paragraph" w:customStyle="1" w:styleId="SMCKastenblauberschrift1">
    <w:name w:val="SMC_Kasten_blau_Überschrift 1"/>
    <w:basedOn w:val="SMCKastenblauAltK"/>
    <w:next w:val="SMCKastenblauAltK"/>
    <w:uiPriority w:val="9"/>
    <w:semiHidden/>
    <w:rsid w:val="00A443F8"/>
    <w:rPr>
      <w:rFonts w:asciiTheme="majorHAnsi" w:hAnsiTheme="majorHAnsi"/>
      <w:sz w:val="22"/>
    </w:rPr>
  </w:style>
  <w:style w:type="paragraph" w:customStyle="1" w:styleId="SMCKastenblauberschrift2">
    <w:name w:val="SMC_Kasten_blau_Überschrift 2"/>
    <w:basedOn w:val="SMCKastenblauAltK"/>
    <w:uiPriority w:val="9"/>
    <w:semiHidden/>
    <w:rsid w:val="00A443F8"/>
    <w:pPr>
      <w:spacing w:after="0"/>
    </w:pPr>
    <w:rPr>
      <w:rFonts w:ascii="Akko Pro Medium" w:hAnsi="Akko Pro Medium"/>
    </w:rPr>
  </w:style>
  <w:style w:type="paragraph" w:customStyle="1" w:styleId="SMCKastengrau">
    <w:name w:val="SMC_Kasten_grau"/>
    <w:basedOn w:val="Standard"/>
    <w:uiPriority w:val="45"/>
    <w:rsid w:val="00A443F8"/>
    <w:pPr>
      <w:pBdr>
        <w:top w:val="single" w:sz="4" w:space="13" w:color="A6A6A6" w:themeColor="accent6"/>
        <w:left w:val="single" w:sz="4" w:space="13" w:color="A6A6A6" w:themeColor="accent6"/>
        <w:bottom w:val="single" w:sz="4" w:space="13" w:color="A6A6A6" w:themeColor="accent6"/>
        <w:right w:val="single" w:sz="4" w:space="13" w:color="A6A6A6" w:themeColor="accent6"/>
      </w:pBdr>
      <w:shd w:val="clear" w:color="auto" w:fill="A6A6A6" w:themeFill="accent6"/>
      <w:spacing w:line="264" w:lineRule="auto"/>
      <w:ind w:left="284" w:right="284"/>
    </w:pPr>
    <w:rPr>
      <w:color w:val="FFFFFF" w:themeColor="background1"/>
    </w:rPr>
  </w:style>
  <w:style w:type="paragraph" w:customStyle="1" w:styleId="SMCKastengrauAufzhlung1">
    <w:name w:val="SMC_Kasten_grau_Aufzählung 1"/>
    <w:basedOn w:val="SMCKastengrau"/>
    <w:next w:val="Standard"/>
    <w:uiPriority w:val="45"/>
    <w:rsid w:val="00A443F8"/>
    <w:pPr>
      <w:numPr>
        <w:numId w:val="11"/>
      </w:numPr>
    </w:pPr>
  </w:style>
  <w:style w:type="paragraph" w:customStyle="1" w:styleId="SMCKastengrauAufzhlung2">
    <w:name w:val="SMC_Kasten_grau_Aufzählung 2"/>
    <w:basedOn w:val="SMCKastengrau"/>
    <w:uiPriority w:val="45"/>
    <w:semiHidden/>
    <w:rsid w:val="00A443F8"/>
    <w:pPr>
      <w:numPr>
        <w:ilvl w:val="1"/>
        <w:numId w:val="6"/>
      </w:numPr>
    </w:pPr>
  </w:style>
  <w:style w:type="paragraph" w:customStyle="1" w:styleId="SMCKastengrauAufzhlung3">
    <w:name w:val="SMC_Kasten_grau_Aufzählung 3"/>
    <w:basedOn w:val="SMCKastengrauAufzhlung1"/>
    <w:uiPriority w:val="45"/>
    <w:semiHidden/>
    <w:rsid w:val="00A443F8"/>
    <w:pPr>
      <w:numPr>
        <w:ilvl w:val="2"/>
      </w:numPr>
    </w:pPr>
  </w:style>
  <w:style w:type="paragraph" w:customStyle="1" w:styleId="SMCKastengrauStatement">
    <w:name w:val="SMC_Kasten_grau_Statement"/>
    <w:basedOn w:val="SMCKastengrauAufzhlung3"/>
    <w:uiPriority w:val="45"/>
    <w:rsid w:val="00A443F8"/>
    <w:pPr>
      <w:numPr>
        <w:ilvl w:val="1"/>
      </w:numPr>
      <w:spacing w:line="300" w:lineRule="atLeast"/>
    </w:pPr>
    <w:rPr>
      <w:sz w:val="22"/>
    </w:rPr>
  </w:style>
  <w:style w:type="paragraph" w:customStyle="1" w:styleId="SMCKastengrauberschrift1">
    <w:name w:val="SMC_Kasten_grau_Überschrift 1"/>
    <w:basedOn w:val="Standard"/>
    <w:next w:val="SMCKastengrau"/>
    <w:uiPriority w:val="9"/>
    <w:semiHidden/>
    <w:rsid w:val="00A443F8"/>
    <w:pPr>
      <w:pBdr>
        <w:top w:val="single" w:sz="4" w:space="13" w:color="D9D9D9" w:themeColor="background1" w:themeShade="D9"/>
        <w:left w:val="single" w:sz="4" w:space="13" w:color="D9D9D9" w:themeColor="background1" w:themeShade="D9"/>
        <w:bottom w:val="single" w:sz="4" w:space="13" w:color="D9D9D9" w:themeColor="background1" w:themeShade="D9"/>
        <w:right w:val="single" w:sz="4" w:space="13" w:color="D9D9D9" w:themeColor="background1" w:themeShade="D9"/>
      </w:pBdr>
      <w:shd w:val="clear" w:color="auto" w:fill="D6CFBD"/>
      <w:ind w:left="284" w:right="284"/>
    </w:pPr>
    <w:rPr>
      <w:rFonts w:asciiTheme="majorHAnsi" w:hAnsiTheme="majorHAnsi"/>
      <w:color w:val="2A60AA" w:themeColor="accent1"/>
      <w:sz w:val="22"/>
    </w:rPr>
  </w:style>
  <w:style w:type="paragraph" w:customStyle="1" w:styleId="SMCKastengrauberschrift2">
    <w:name w:val="SMC_Kasten_grau_Überschrift 2"/>
    <w:basedOn w:val="SMCKastengrau"/>
    <w:next w:val="SMCKastengrau"/>
    <w:uiPriority w:val="9"/>
    <w:semiHidden/>
    <w:rsid w:val="00A443F8"/>
    <w:pPr>
      <w:spacing w:after="0"/>
    </w:pPr>
    <w:rPr>
      <w:rFonts w:ascii="Akko Pro Medium" w:hAnsi="Akko Pro Medium"/>
      <w:color w:val="2690C1" w:themeColor="accent2"/>
    </w:rPr>
  </w:style>
  <w:style w:type="paragraph" w:customStyle="1" w:styleId="SMCStatementALTP">
    <w:name w:val="SMC_Statement (ALT + P)"/>
    <w:basedOn w:val="Standard"/>
    <w:next w:val="Standard"/>
    <w:uiPriority w:val="34"/>
    <w:rsid w:val="00EF1852"/>
    <w:pPr>
      <w:numPr>
        <w:numId w:val="4"/>
      </w:numPr>
      <w:spacing w:line="300" w:lineRule="atLeast"/>
    </w:pPr>
    <w:rPr>
      <w:color w:val="2A60AA" w:themeColor="accent1"/>
      <w:sz w:val="22"/>
    </w:rPr>
  </w:style>
  <w:style w:type="paragraph" w:styleId="Titel">
    <w:name w:val="Title"/>
    <w:aliases w:val="SMC_Titel (ALT + T)"/>
    <w:next w:val="Standard"/>
    <w:link w:val="TitelZchn"/>
    <w:uiPriority w:val="10"/>
    <w:rsid w:val="00454B3E"/>
    <w:pPr>
      <w:pBdr>
        <w:bottom w:val="single" w:sz="8" w:space="4" w:color="A6A6A6" w:themeColor="background2"/>
      </w:pBdr>
      <w:spacing w:after="360" w:line="240" w:lineRule="auto"/>
      <w:contextualSpacing/>
    </w:pPr>
    <w:rPr>
      <w:rFonts w:asciiTheme="majorHAnsi" w:eastAsiaTheme="majorEastAsia" w:hAnsiTheme="majorHAnsi" w:cstheme="majorBidi"/>
      <w:b/>
      <w:color w:val="2A60AA" w:themeColor="accent1"/>
      <w:spacing w:val="5"/>
      <w:kern w:val="28"/>
      <w:sz w:val="40"/>
      <w:szCs w:val="52"/>
    </w:rPr>
  </w:style>
  <w:style w:type="character" w:customStyle="1" w:styleId="TitelZchn">
    <w:name w:val="Titel Zchn"/>
    <w:aliases w:val="SMC_Titel (ALT + T) Zchn"/>
    <w:basedOn w:val="Absatz-Standardschriftart"/>
    <w:link w:val="Titel"/>
    <w:uiPriority w:val="10"/>
    <w:rsid w:val="00454B3E"/>
    <w:rPr>
      <w:rFonts w:asciiTheme="majorHAnsi" w:eastAsiaTheme="majorEastAsia" w:hAnsiTheme="majorHAnsi" w:cstheme="majorBidi"/>
      <w:b/>
      <w:color w:val="2A60AA" w:themeColor="accent1"/>
      <w:spacing w:val="5"/>
      <w:kern w:val="28"/>
      <w:sz w:val="40"/>
      <w:szCs w:val="52"/>
    </w:rPr>
  </w:style>
  <w:style w:type="numbering" w:customStyle="1" w:styleId="SMCListeKasten">
    <w:name w:val="SMC_ListeKasten"/>
    <w:basedOn w:val="KeineListe"/>
    <w:uiPriority w:val="99"/>
    <w:rsid w:val="00A443F8"/>
    <w:pPr>
      <w:numPr>
        <w:numId w:val="10"/>
      </w:numPr>
    </w:pPr>
  </w:style>
  <w:style w:type="character" w:customStyle="1" w:styleId="SMCBlauALTB">
    <w:name w:val="SMC_Blau (ALT + B)"/>
    <w:basedOn w:val="Absatz-Standardschriftart"/>
    <w:uiPriority w:val="1"/>
    <w:qFormat/>
    <w:rsid w:val="005A2FCF"/>
    <w:rPr>
      <w:color w:val="2A60AA" w:themeColor="accent1"/>
    </w:rPr>
  </w:style>
  <w:style w:type="table" w:customStyle="1" w:styleId="Gitternetztabelle5dunkelAkzent11">
    <w:name w:val="Gitternetztabelle 5 dunkel  – Akzent 11"/>
    <w:basedOn w:val="NormaleTabelle"/>
    <w:uiPriority w:val="50"/>
    <w:rsid w:val="00AC3E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DE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A60A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A60A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A60A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A60AA" w:themeFill="accent1"/>
      </w:tcPr>
    </w:tblStylePr>
    <w:tblStylePr w:type="band1Vert">
      <w:tblPr/>
      <w:tcPr>
        <w:shd w:val="clear" w:color="auto" w:fill="9FBDE7" w:themeFill="accent1" w:themeFillTint="66"/>
      </w:tcPr>
    </w:tblStylePr>
    <w:tblStylePr w:type="band1Horz">
      <w:tblPr/>
      <w:tcPr>
        <w:shd w:val="clear" w:color="auto" w:fill="9FBDE7" w:themeFill="accent1" w:themeFillTint="66"/>
      </w:tcPr>
    </w:tblStylePr>
  </w:style>
  <w:style w:type="numbering" w:customStyle="1" w:styleId="SMCListeKastengrau">
    <w:name w:val="SMC_ListeKasten_grau"/>
    <w:basedOn w:val="KeineListe"/>
    <w:uiPriority w:val="99"/>
    <w:rsid w:val="00A443F8"/>
    <w:pPr>
      <w:numPr>
        <w:numId w:val="11"/>
      </w:numPr>
    </w:pPr>
  </w:style>
  <w:style w:type="paragraph" w:customStyle="1" w:styleId="SMCTemplate">
    <w:name w:val="SMC_Template"/>
    <w:basedOn w:val="Standard"/>
    <w:qFormat/>
    <w:rsid w:val="00C01362"/>
    <w:pPr>
      <w:spacing w:before="360" w:after="480"/>
    </w:pPr>
    <w:rPr>
      <w:b/>
      <w:color w:val="2A60AA" w:themeColor="accent1"/>
      <w:sz w:val="52"/>
    </w:rPr>
  </w:style>
  <w:style w:type="paragraph" w:customStyle="1" w:styleId="SMCTemplateUntertitel">
    <w:name w:val="SMC_Template Untertitel"/>
    <w:basedOn w:val="Standard"/>
    <w:next w:val="Standard"/>
    <w:rsid w:val="00C01362"/>
    <w:pPr>
      <w:spacing w:after="480"/>
    </w:pPr>
    <w:rPr>
      <w:color w:val="2A60AA" w:themeColor="accent1"/>
      <w:sz w:val="40"/>
    </w:rPr>
  </w:style>
  <w:style w:type="paragraph" w:customStyle="1" w:styleId="SMCUnsichtbar">
    <w:name w:val="SMC_Unsichtbar"/>
    <w:basedOn w:val="Standard"/>
    <w:rsid w:val="00D73044"/>
    <w:pPr>
      <w:spacing w:after="0" w:line="240" w:lineRule="auto"/>
    </w:pPr>
    <w:rPr>
      <w:color w:val="FFFFFF" w:themeColor="background1"/>
      <w:sz w:val="2"/>
    </w:rPr>
  </w:style>
  <w:style w:type="character" w:styleId="Platzhaltertext">
    <w:name w:val="Placeholder Text"/>
    <w:basedOn w:val="Absatz-Standardschriftart"/>
    <w:uiPriority w:val="99"/>
    <w:semiHidden/>
    <w:rsid w:val="00337ADD"/>
    <w:rPr>
      <w:color w:val="808080"/>
    </w:rPr>
  </w:style>
  <w:style w:type="table" w:customStyle="1" w:styleId="Gitternetztabelle6farbigAkzent31">
    <w:name w:val="Gitternetztabelle 6 farbig – Akzent 31"/>
    <w:basedOn w:val="NormaleTabelle"/>
    <w:uiPriority w:val="51"/>
    <w:rsid w:val="00ED7FCD"/>
    <w:pPr>
      <w:spacing w:after="0" w:line="240" w:lineRule="auto"/>
    </w:pPr>
    <w:rPr>
      <w:color w:val="1B8288" w:themeColor="accent3" w:themeShade="BF"/>
    </w:rPr>
    <w:tblPr>
      <w:tblStyleRowBandSize w:val="1"/>
      <w:tblStyleColBandSize w:val="1"/>
      <w:tblBorders>
        <w:top w:val="single" w:sz="4" w:space="0" w:color="6DDBE2" w:themeColor="accent3" w:themeTint="99"/>
        <w:left w:val="single" w:sz="4" w:space="0" w:color="6DDBE2" w:themeColor="accent3" w:themeTint="99"/>
        <w:bottom w:val="single" w:sz="4" w:space="0" w:color="6DDBE2" w:themeColor="accent3" w:themeTint="99"/>
        <w:right w:val="single" w:sz="4" w:space="0" w:color="6DDBE2" w:themeColor="accent3" w:themeTint="99"/>
        <w:insideH w:val="single" w:sz="4" w:space="0" w:color="6DDBE2" w:themeColor="accent3" w:themeTint="99"/>
        <w:insideV w:val="single" w:sz="4" w:space="0" w:color="6DDBE2" w:themeColor="accent3" w:themeTint="99"/>
      </w:tblBorders>
    </w:tblPr>
    <w:tblStylePr w:type="firstRow">
      <w:rPr>
        <w:b/>
        <w:bCs/>
      </w:rPr>
      <w:tblPr/>
      <w:tcPr>
        <w:tcBorders>
          <w:bottom w:val="single" w:sz="12" w:space="0" w:color="6DDBE2" w:themeColor="accent3" w:themeTint="99"/>
        </w:tcBorders>
      </w:tcPr>
    </w:tblStylePr>
    <w:tblStylePr w:type="lastRow">
      <w:rPr>
        <w:b/>
        <w:bCs/>
      </w:rPr>
      <w:tblPr/>
      <w:tcPr>
        <w:tcBorders>
          <w:top w:val="double" w:sz="4" w:space="0" w:color="6DDBE2" w:themeColor="accent3" w:themeTint="99"/>
        </w:tcBorders>
      </w:tcPr>
    </w:tblStylePr>
    <w:tblStylePr w:type="firstCol">
      <w:rPr>
        <w:b/>
        <w:bCs/>
      </w:rPr>
    </w:tblStylePr>
    <w:tblStylePr w:type="lastCol">
      <w:rPr>
        <w:b/>
        <w:bCs/>
      </w:rPr>
    </w:tblStylePr>
    <w:tblStylePr w:type="band1Vert">
      <w:tblPr/>
      <w:tcPr>
        <w:shd w:val="clear" w:color="auto" w:fill="CEF3F5" w:themeFill="accent3" w:themeFillTint="33"/>
      </w:tcPr>
    </w:tblStylePr>
    <w:tblStylePr w:type="band1Horz">
      <w:tblPr/>
      <w:tcPr>
        <w:shd w:val="clear" w:color="auto" w:fill="CEF3F5" w:themeFill="accent3" w:themeFillTint="33"/>
      </w:tcPr>
    </w:tblStylePr>
  </w:style>
  <w:style w:type="table" w:customStyle="1" w:styleId="SMCTabellenKopf">
    <w:name w:val="SMC_Tabellen_Kopf"/>
    <w:basedOn w:val="SMCTabelle-ohne-Rahmen"/>
    <w:uiPriority w:val="99"/>
    <w:rsid w:val="00AC4609"/>
    <w:pPr>
      <w:ind w:left="170" w:right="170"/>
    </w:pPr>
    <w:tblPr>
      <w:tblBorders>
        <w:top w:val="single" w:sz="48" w:space="0" w:color="2A60AA" w:themeColor="accent1"/>
        <w:left w:val="single" w:sz="48" w:space="0" w:color="2A60AA" w:themeColor="accent1"/>
        <w:bottom w:val="single" w:sz="48" w:space="0" w:color="2A60AA" w:themeColor="accent1"/>
        <w:right w:val="single" w:sz="48" w:space="0" w:color="2A60AA" w:themeColor="accent1"/>
      </w:tblBorders>
      <w:tblCellMar>
        <w:top w:w="170" w:type="dxa"/>
        <w:left w:w="170" w:type="dxa"/>
        <w:bottom w:w="170" w:type="dxa"/>
        <w:right w:w="170" w:type="dxa"/>
      </w:tblCellMar>
    </w:tblPr>
  </w:style>
  <w:style w:type="paragraph" w:customStyle="1" w:styleId="SMCBriefVerkaufsbro">
    <w:name w:val="SMC_Brief_Verkaufsbüro"/>
    <w:basedOn w:val="Standard"/>
    <w:qFormat/>
    <w:rsid w:val="007D57F9"/>
    <w:pPr>
      <w:spacing w:after="0" w:line="240" w:lineRule="auto"/>
      <w:ind w:right="113"/>
    </w:pPr>
    <w:rPr>
      <w:b/>
      <w:sz w:val="18"/>
    </w:rPr>
  </w:style>
  <w:style w:type="paragraph" w:customStyle="1" w:styleId="SMCBriefFenster">
    <w:name w:val="SMC_Brief_Fenster"/>
    <w:basedOn w:val="Standard"/>
    <w:qFormat/>
    <w:rsid w:val="007D57F9"/>
    <w:pPr>
      <w:spacing w:after="0" w:line="0" w:lineRule="atLeast"/>
      <w:ind w:right="113"/>
    </w:pPr>
    <w:rPr>
      <w:sz w:val="14"/>
    </w:rPr>
  </w:style>
  <w:style w:type="paragraph" w:customStyle="1" w:styleId="SMCBriefAnsprechpartner">
    <w:name w:val="SMC_Brief_Ansprechpartner"/>
    <w:basedOn w:val="SMCBriefVerkaufsbro"/>
    <w:qFormat/>
    <w:rsid w:val="00631C0B"/>
    <w:pPr>
      <w:spacing w:before="60" w:after="60"/>
    </w:pPr>
    <w:rPr>
      <w:b w:val="0"/>
    </w:rPr>
  </w:style>
  <w:style w:type="paragraph" w:customStyle="1" w:styleId="SMCBriefAdresse">
    <w:name w:val="SMC_Brief_Adresse"/>
    <w:basedOn w:val="Standard"/>
    <w:qFormat/>
    <w:rsid w:val="00521F23"/>
    <w:pPr>
      <w:spacing w:after="40" w:line="240" w:lineRule="auto"/>
    </w:pPr>
  </w:style>
  <w:style w:type="paragraph" w:styleId="Sprechblasentext">
    <w:name w:val="Balloon Text"/>
    <w:basedOn w:val="Standard"/>
    <w:link w:val="SprechblasentextZchn"/>
    <w:uiPriority w:val="99"/>
    <w:semiHidden/>
    <w:unhideWhenUsed/>
    <w:rsid w:val="0090034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0344"/>
    <w:rPr>
      <w:rFonts w:ascii="Segoe UI" w:hAnsi="Segoe UI" w:cs="Segoe UI"/>
      <w:sz w:val="18"/>
      <w:szCs w:val="18"/>
    </w:rPr>
  </w:style>
  <w:style w:type="paragraph" w:customStyle="1" w:styleId="SMCBriefBetreff">
    <w:name w:val="SMC_Brief_Betreff"/>
    <w:basedOn w:val="Standard"/>
    <w:rsid w:val="00A648CB"/>
    <w:pPr>
      <w:spacing w:before="120" w:after="400"/>
      <w:ind w:right="113"/>
    </w:pPr>
    <w:rPr>
      <w:b/>
    </w:rPr>
  </w:style>
  <w:style w:type="paragraph" w:customStyle="1" w:styleId="SMCBriefSeitenzahl">
    <w:name w:val="SMC_Brief_Seitenzahl"/>
    <w:basedOn w:val="Fuzeile"/>
    <w:qFormat/>
    <w:rsid w:val="00BE6B50"/>
    <w:pPr>
      <w:tabs>
        <w:tab w:val="right" w:pos="9070"/>
      </w:tabs>
      <w:spacing w:after="360"/>
      <w:jc w:val="left"/>
    </w:pPr>
    <w:rPr>
      <w:noProof/>
    </w:rPr>
  </w:style>
  <w:style w:type="paragraph" w:customStyle="1" w:styleId="SMCBriefAnsprechpartnerName">
    <w:name w:val="SMC_Brief_Ansprechpartner_Name"/>
    <w:basedOn w:val="SMCBriefAnsprechpartner"/>
    <w:qFormat/>
    <w:rsid w:val="00E36930"/>
    <w:rPr>
      <w:b/>
      <w:color w:val="2A60AA" w:themeColor="accent1"/>
    </w:rPr>
  </w:style>
  <w:style w:type="paragraph" w:customStyle="1" w:styleId="SMCPressetext">
    <w:name w:val="SMC_Pressetext"/>
    <w:basedOn w:val="Standard"/>
    <w:rsid w:val="00525FD7"/>
    <w:pPr>
      <w:spacing w:line="360" w:lineRule="atLeast"/>
    </w:pPr>
  </w:style>
  <w:style w:type="paragraph" w:customStyle="1" w:styleId="Default">
    <w:name w:val="Default"/>
    <w:rsid w:val="005E052A"/>
    <w:pPr>
      <w:autoSpaceDE w:val="0"/>
      <w:autoSpaceDN w:val="0"/>
      <w:adjustRightInd w:val="0"/>
      <w:spacing w:after="0" w:line="240" w:lineRule="auto"/>
    </w:pPr>
    <w:rPr>
      <w:rFonts w:ascii="Myriad Pro" w:hAnsi="Myriad Pro" w:cs="Myriad Pro"/>
      <w:color w:val="000000"/>
      <w:sz w:val="24"/>
      <w:szCs w:val="24"/>
      <w:lang w:val="en-US"/>
    </w:rPr>
  </w:style>
  <w:style w:type="character" w:styleId="Kommentarzeichen">
    <w:name w:val="annotation reference"/>
    <w:basedOn w:val="Absatz-Standardschriftart"/>
    <w:uiPriority w:val="99"/>
    <w:semiHidden/>
    <w:rsid w:val="008D659E"/>
    <w:rPr>
      <w:sz w:val="16"/>
      <w:szCs w:val="16"/>
    </w:rPr>
  </w:style>
  <w:style w:type="paragraph" w:styleId="Kommentartext">
    <w:name w:val="annotation text"/>
    <w:basedOn w:val="Standard"/>
    <w:link w:val="KommentartextZchn"/>
    <w:uiPriority w:val="99"/>
    <w:semiHidden/>
    <w:rsid w:val="008D659E"/>
    <w:pPr>
      <w:spacing w:line="240" w:lineRule="auto"/>
    </w:pPr>
  </w:style>
  <w:style w:type="character" w:customStyle="1" w:styleId="KommentartextZchn">
    <w:name w:val="Kommentartext Zchn"/>
    <w:basedOn w:val="Absatz-Standardschriftart"/>
    <w:link w:val="Kommentartext"/>
    <w:uiPriority w:val="99"/>
    <w:semiHidden/>
    <w:rsid w:val="008D659E"/>
  </w:style>
  <w:style w:type="paragraph" w:styleId="Kommentarthema">
    <w:name w:val="annotation subject"/>
    <w:basedOn w:val="Kommentartext"/>
    <w:next w:val="Kommentartext"/>
    <w:link w:val="KommentarthemaZchn"/>
    <w:uiPriority w:val="99"/>
    <w:semiHidden/>
    <w:rsid w:val="008D659E"/>
    <w:rPr>
      <w:b/>
      <w:bCs/>
    </w:rPr>
  </w:style>
  <w:style w:type="character" w:customStyle="1" w:styleId="KommentarthemaZchn">
    <w:name w:val="Kommentarthema Zchn"/>
    <w:basedOn w:val="KommentartextZchn"/>
    <w:link w:val="Kommentarthema"/>
    <w:uiPriority w:val="99"/>
    <w:semiHidden/>
    <w:rsid w:val="008D659E"/>
    <w:rPr>
      <w:b/>
      <w:bCs/>
    </w:rPr>
  </w:style>
  <w:style w:type="paragraph" w:styleId="StandardWeb">
    <w:name w:val="Normal (Web)"/>
    <w:basedOn w:val="Standard"/>
    <w:uiPriority w:val="99"/>
    <w:semiHidden/>
    <w:rsid w:val="00A949C9"/>
    <w:rPr>
      <w:rFonts w:ascii="Courier" w:hAnsi="Courier"/>
      <w:sz w:val="24"/>
      <w:szCs w:val="24"/>
    </w:rPr>
  </w:style>
  <w:style w:type="paragraph" w:styleId="Listenabsatz">
    <w:name w:val="List Paragraph"/>
    <w:basedOn w:val="Standard"/>
    <w:uiPriority w:val="34"/>
    <w:semiHidden/>
    <w:qFormat/>
    <w:rsid w:val="00260026"/>
    <w:pPr>
      <w:ind w:left="720"/>
      <w:contextualSpacing/>
    </w:pPr>
  </w:style>
  <w:style w:type="paragraph" w:styleId="berarbeitung">
    <w:name w:val="Revision"/>
    <w:hidden/>
    <w:uiPriority w:val="99"/>
    <w:semiHidden/>
    <w:rsid w:val="00F411C3"/>
    <w:pPr>
      <w:spacing w:after="0" w:line="240" w:lineRule="auto"/>
    </w:pPr>
  </w:style>
  <w:style w:type="character" w:styleId="NichtaufgelsteErwhnung">
    <w:name w:val="Unresolved Mention"/>
    <w:basedOn w:val="Absatz-Standardschriftart"/>
    <w:uiPriority w:val="99"/>
    <w:semiHidden/>
    <w:unhideWhenUsed/>
    <w:rsid w:val="003B31C9"/>
    <w:rPr>
      <w:color w:val="605E5C"/>
      <w:shd w:val="clear" w:color="auto" w:fill="E1DFDD"/>
    </w:rPr>
  </w:style>
  <w:style w:type="character" w:styleId="BesuchterLink">
    <w:name w:val="FollowedHyperlink"/>
    <w:basedOn w:val="Absatz-Standardschriftart"/>
    <w:uiPriority w:val="99"/>
    <w:semiHidden/>
    <w:unhideWhenUsed/>
    <w:rsid w:val="000E6E1A"/>
    <w:rPr>
      <w:color w:val="48A1F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3635">
      <w:bodyDiv w:val="1"/>
      <w:marLeft w:val="0"/>
      <w:marRight w:val="0"/>
      <w:marTop w:val="0"/>
      <w:marBottom w:val="0"/>
      <w:divBdr>
        <w:top w:val="none" w:sz="0" w:space="0" w:color="auto"/>
        <w:left w:val="none" w:sz="0" w:space="0" w:color="auto"/>
        <w:bottom w:val="none" w:sz="0" w:space="0" w:color="auto"/>
        <w:right w:val="none" w:sz="0" w:space="0" w:color="auto"/>
      </w:divBdr>
    </w:div>
    <w:div w:id="194655981">
      <w:bodyDiv w:val="1"/>
      <w:marLeft w:val="0"/>
      <w:marRight w:val="0"/>
      <w:marTop w:val="0"/>
      <w:marBottom w:val="0"/>
      <w:divBdr>
        <w:top w:val="none" w:sz="0" w:space="0" w:color="auto"/>
        <w:left w:val="none" w:sz="0" w:space="0" w:color="auto"/>
        <w:bottom w:val="none" w:sz="0" w:space="0" w:color="auto"/>
        <w:right w:val="none" w:sz="0" w:space="0" w:color="auto"/>
      </w:divBdr>
    </w:div>
    <w:div w:id="205143425">
      <w:bodyDiv w:val="1"/>
      <w:marLeft w:val="0"/>
      <w:marRight w:val="0"/>
      <w:marTop w:val="0"/>
      <w:marBottom w:val="0"/>
      <w:divBdr>
        <w:top w:val="none" w:sz="0" w:space="0" w:color="auto"/>
        <w:left w:val="none" w:sz="0" w:space="0" w:color="auto"/>
        <w:bottom w:val="none" w:sz="0" w:space="0" w:color="auto"/>
        <w:right w:val="none" w:sz="0" w:space="0" w:color="auto"/>
      </w:divBdr>
    </w:div>
    <w:div w:id="221064263">
      <w:bodyDiv w:val="1"/>
      <w:marLeft w:val="0"/>
      <w:marRight w:val="0"/>
      <w:marTop w:val="0"/>
      <w:marBottom w:val="0"/>
      <w:divBdr>
        <w:top w:val="none" w:sz="0" w:space="0" w:color="auto"/>
        <w:left w:val="none" w:sz="0" w:space="0" w:color="auto"/>
        <w:bottom w:val="none" w:sz="0" w:space="0" w:color="auto"/>
        <w:right w:val="none" w:sz="0" w:space="0" w:color="auto"/>
      </w:divBdr>
    </w:div>
    <w:div w:id="448475345">
      <w:bodyDiv w:val="1"/>
      <w:marLeft w:val="0"/>
      <w:marRight w:val="0"/>
      <w:marTop w:val="0"/>
      <w:marBottom w:val="0"/>
      <w:divBdr>
        <w:top w:val="none" w:sz="0" w:space="0" w:color="auto"/>
        <w:left w:val="none" w:sz="0" w:space="0" w:color="auto"/>
        <w:bottom w:val="none" w:sz="0" w:space="0" w:color="auto"/>
        <w:right w:val="none" w:sz="0" w:space="0" w:color="auto"/>
      </w:divBdr>
    </w:div>
    <w:div w:id="453907492">
      <w:bodyDiv w:val="1"/>
      <w:marLeft w:val="0"/>
      <w:marRight w:val="0"/>
      <w:marTop w:val="0"/>
      <w:marBottom w:val="0"/>
      <w:divBdr>
        <w:top w:val="none" w:sz="0" w:space="0" w:color="auto"/>
        <w:left w:val="none" w:sz="0" w:space="0" w:color="auto"/>
        <w:bottom w:val="none" w:sz="0" w:space="0" w:color="auto"/>
        <w:right w:val="none" w:sz="0" w:space="0" w:color="auto"/>
      </w:divBdr>
    </w:div>
    <w:div w:id="456489224">
      <w:bodyDiv w:val="1"/>
      <w:marLeft w:val="0"/>
      <w:marRight w:val="0"/>
      <w:marTop w:val="0"/>
      <w:marBottom w:val="0"/>
      <w:divBdr>
        <w:top w:val="none" w:sz="0" w:space="0" w:color="auto"/>
        <w:left w:val="none" w:sz="0" w:space="0" w:color="auto"/>
        <w:bottom w:val="none" w:sz="0" w:space="0" w:color="auto"/>
        <w:right w:val="none" w:sz="0" w:space="0" w:color="auto"/>
      </w:divBdr>
    </w:div>
    <w:div w:id="469590533">
      <w:bodyDiv w:val="1"/>
      <w:marLeft w:val="0"/>
      <w:marRight w:val="0"/>
      <w:marTop w:val="0"/>
      <w:marBottom w:val="0"/>
      <w:divBdr>
        <w:top w:val="none" w:sz="0" w:space="0" w:color="auto"/>
        <w:left w:val="none" w:sz="0" w:space="0" w:color="auto"/>
        <w:bottom w:val="none" w:sz="0" w:space="0" w:color="auto"/>
        <w:right w:val="none" w:sz="0" w:space="0" w:color="auto"/>
      </w:divBdr>
    </w:div>
    <w:div w:id="656225389">
      <w:bodyDiv w:val="1"/>
      <w:marLeft w:val="0"/>
      <w:marRight w:val="0"/>
      <w:marTop w:val="0"/>
      <w:marBottom w:val="0"/>
      <w:divBdr>
        <w:top w:val="none" w:sz="0" w:space="0" w:color="auto"/>
        <w:left w:val="none" w:sz="0" w:space="0" w:color="auto"/>
        <w:bottom w:val="none" w:sz="0" w:space="0" w:color="auto"/>
        <w:right w:val="none" w:sz="0" w:space="0" w:color="auto"/>
      </w:divBdr>
    </w:div>
    <w:div w:id="875509791">
      <w:bodyDiv w:val="1"/>
      <w:marLeft w:val="0"/>
      <w:marRight w:val="0"/>
      <w:marTop w:val="0"/>
      <w:marBottom w:val="0"/>
      <w:divBdr>
        <w:top w:val="none" w:sz="0" w:space="0" w:color="auto"/>
        <w:left w:val="none" w:sz="0" w:space="0" w:color="auto"/>
        <w:bottom w:val="none" w:sz="0" w:space="0" w:color="auto"/>
        <w:right w:val="none" w:sz="0" w:space="0" w:color="auto"/>
      </w:divBdr>
    </w:div>
    <w:div w:id="877089683">
      <w:bodyDiv w:val="1"/>
      <w:marLeft w:val="0"/>
      <w:marRight w:val="0"/>
      <w:marTop w:val="0"/>
      <w:marBottom w:val="0"/>
      <w:divBdr>
        <w:top w:val="none" w:sz="0" w:space="0" w:color="auto"/>
        <w:left w:val="none" w:sz="0" w:space="0" w:color="auto"/>
        <w:bottom w:val="none" w:sz="0" w:space="0" w:color="auto"/>
        <w:right w:val="none" w:sz="0" w:space="0" w:color="auto"/>
      </w:divBdr>
    </w:div>
    <w:div w:id="970207977">
      <w:bodyDiv w:val="1"/>
      <w:marLeft w:val="0"/>
      <w:marRight w:val="0"/>
      <w:marTop w:val="0"/>
      <w:marBottom w:val="0"/>
      <w:divBdr>
        <w:top w:val="none" w:sz="0" w:space="0" w:color="auto"/>
        <w:left w:val="none" w:sz="0" w:space="0" w:color="auto"/>
        <w:bottom w:val="none" w:sz="0" w:space="0" w:color="auto"/>
        <w:right w:val="none" w:sz="0" w:space="0" w:color="auto"/>
      </w:divBdr>
    </w:div>
    <w:div w:id="1061439708">
      <w:bodyDiv w:val="1"/>
      <w:marLeft w:val="0"/>
      <w:marRight w:val="0"/>
      <w:marTop w:val="0"/>
      <w:marBottom w:val="0"/>
      <w:divBdr>
        <w:top w:val="none" w:sz="0" w:space="0" w:color="auto"/>
        <w:left w:val="none" w:sz="0" w:space="0" w:color="auto"/>
        <w:bottom w:val="none" w:sz="0" w:space="0" w:color="auto"/>
        <w:right w:val="none" w:sz="0" w:space="0" w:color="auto"/>
      </w:divBdr>
      <w:divsChild>
        <w:div w:id="21341280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425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1561">
      <w:bodyDiv w:val="1"/>
      <w:marLeft w:val="0"/>
      <w:marRight w:val="0"/>
      <w:marTop w:val="0"/>
      <w:marBottom w:val="0"/>
      <w:divBdr>
        <w:top w:val="none" w:sz="0" w:space="0" w:color="auto"/>
        <w:left w:val="none" w:sz="0" w:space="0" w:color="auto"/>
        <w:bottom w:val="none" w:sz="0" w:space="0" w:color="auto"/>
        <w:right w:val="none" w:sz="0" w:space="0" w:color="auto"/>
      </w:divBdr>
    </w:div>
    <w:div w:id="1240168902">
      <w:bodyDiv w:val="1"/>
      <w:marLeft w:val="0"/>
      <w:marRight w:val="0"/>
      <w:marTop w:val="0"/>
      <w:marBottom w:val="0"/>
      <w:divBdr>
        <w:top w:val="none" w:sz="0" w:space="0" w:color="auto"/>
        <w:left w:val="none" w:sz="0" w:space="0" w:color="auto"/>
        <w:bottom w:val="none" w:sz="0" w:space="0" w:color="auto"/>
        <w:right w:val="none" w:sz="0" w:space="0" w:color="auto"/>
      </w:divBdr>
    </w:div>
    <w:div w:id="1280839350">
      <w:bodyDiv w:val="1"/>
      <w:marLeft w:val="0"/>
      <w:marRight w:val="0"/>
      <w:marTop w:val="0"/>
      <w:marBottom w:val="0"/>
      <w:divBdr>
        <w:top w:val="none" w:sz="0" w:space="0" w:color="auto"/>
        <w:left w:val="none" w:sz="0" w:space="0" w:color="auto"/>
        <w:bottom w:val="none" w:sz="0" w:space="0" w:color="auto"/>
        <w:right w:val="none" w:sz="0" w:space="0" w:color="auto"/>
      </w:divBdr>
    </w:div>
    <w:div w:id="1325235430">
      <w:bodyDiv w:val="1"/>
      <w:marLeft w:val="0"/>
      <w:marRight w:val="0"/>
      <w:marTop w:val="0"/>
      <w:marBottom w:val="0"/>
      <w:divBdr>
        <w:top w:val="none" w:sz="0" w:space="0" w:color="auto"/>
        <w:left w:val="none" w:sz="0" w:space="0" w:color="auto"/>
        <w:bottom w:val="none" w:sz="0" w:space="0" w:color="auto"/>
        <w:right w:val="none" w:sz="0" w:space="0" w:color="auto"/>
      </w:divBdr>
    </w:div>
    <w:div w:id="1417937682">
      <w:bodyDiv w:val="1"/>
      <w:marLeft w:val="0"/>
      <w:marRight w:val="0"/>
      <w:marTop w:val="0"/>
      <w:marBottom w:val="0"/>
      <w:divBdr>
        <w:top w:val="none" w:sz="0" w:space="0" w:color="auto"/>
        <w:left w:val="none" w:sz="0" w:space="0" w:color="auto"/>
        <w:bottom w:val="none" w:sz="0" w:space="0" w:color="auto"/>
        <w:right w:val="none" w:sz="0" w:space="0" w:color="auto"/>
      </w:divBdr>
    </w:div>
    <w:div w:id="1419329220">
      <w:bodyDiv w:val="1"/>
      <w:marLeft w:val="0"/>
      <w:marRight w:val="0"/>
      <w:marTop w:val="0"/>
      <w:marBottom w:val="0"/>
      <w:divBdr>
        <w:top w:val="none" w:sz="0" w:space="0" w:color="auto"/>
        <w:left w:val="none" w:sz="0" w:space="0" w:color="auto"/>
        <w:bottom w:val="none" w:sz="0" w:space="0" w:color="auto"/>
        <w:right w:val="none" w:sz="0" w:space="0" w:color="auto"/>
      </w:divBdr>
    </w:div>
    <w:div w:id="1505783904">
      <w:bodyDiv w:val="1"/>
      <w:marLeft w:val="0"/>
      <w:marRight w:val="0"/>
      <w:marTop w:val="0"/>
      <w:marBottom w:val="0"/>
      <w:divBdr>
        <w:top w:val="none" w:sz="0" w:space="0" w:color="auto"/>
        <w:left w:val="none" w:sz="0" w:space="0" w:color="auto"/>
        <w:bottom w:val="none" w:sz="0" w:space="0" w:color="auto"/>
        <w:right w:val="none" w:sz="0" w:space="0" w:color="auto"/>
      </w:divBdr>
    </w:div>
    <w:div w:id="1544514323">
      <w:bodyDiv w:val="1"/>
      <w:marLeft w:val="0"/>
      <w:marRight w:val="0"/>
      <w:marTop w:val="0"/>
      <w:marBottom w:val="0"/>
      <w:divBdr>
        <w:top w:val="none" w:sz="0" w:space="0" w:color="auto"/>
        <w:left w:val="none" w:sz="0" w:space="0" w:color="auto"/>
        <w:bottom w:val="none" w:sz="0" w:space="0" w:color="auto"/>
        <w:right w:val="none" w:sz="0" w:space="0" w:color="auto"/>
      </w:divBdr>
    </w:div>
    <w:div w:id="1657949174">
      <w:bodyDiv w:val="1"/>
      <w:marLeft w:val="0"/>
      <w:marRight w:val="0"/>
      <w:marTop w:val="0"/>
      <w:marBottom w:val="0"/>
      <w:divBdr>
        <w:top w:val="none" w:sz="0" w:space="0" w:color="auto"/>
        <w:left w:val="none" w:sz="0" w:space="0" w:color="auto"/>
        <w:bottom w:val="none" w:sz="0" w:space="0" w:color="auto"/>
        <w:right w:val="none" w:sz="0" w:space="0" w:color="auto"/>
      </w:divBdr>
    </w:div>
    <w:div w:id="1823426810">
      <w:bodyDiv w:val="1"/>
      <w:marLeft w:val="0"/>
      <w:marRight w:val="0"/>
      <w:marTop w:val="0"/>
      <w:marBottom w:val="0"/>
      <w:divBdr>
        <w:top w:val="none" w:sz="0" w:space="0" w:color="auto"/>
        <w:left w:val="none" w:sz="0" w:space="0" w:color="auto"/>
        <w:bottom w:val="none" w:sz="0" w:space="0" w:color="auto"/>
        <w:right w:val="none" w:sz="0" w:space="0" w:color="auto"/>
      </w:divBdr>
    </w:div>
    <w:div w:id="1980305204">
      <w:bodyDiv w:val="1"/>
      <w:marLeft w:val="0"/>
      <w:marRight w:val="0"/>
      <w:marTop w:val="0"/>
      <w:marBottom w:val="0"/>
      <w:divBdr>
        <w:top w:val="none" w:sz="0" w:space="0" w:color="auto"/>
        <w:left w:val="none" w:sz="0" w:space="0" w:color="auto"/>
        <w:bottom w:val="none" w:sz="0" w:space="0" w:color="auto"/>
        <w:right w:val="none" w:sz="0" w:space="0" w:color="auto"/>
      </w:divBdr>
    </w:div>
    <w:div w:id="2047102926">
      <w:bodyDiv w:val="1"/>
      <w:marLeft w:val="0"/>
      <w:marRight w:val="0"/>
      <w:marTop w:val="0"/>
      <w:marBottom w:val="0"/>
      <w:divBdr>
        <w:top w:val="none" w:sz="0" w:space="0" w:color="auto"/>
        <w:left w:val="none" w:sz="0" w:space="0" w:color="auto"/>
        <w:bottom w:val="none" w:sz="0" w:space="0" w:color="auto"/>
        <w:right w:val="none" w:sz="0" w:space="0" w:color="auto"/>
      </w:divBdr>
    </w:div>
    <w:div w:id="2052612269">
      <w:bodyDiv w:val="1"/>
      <w:marLeft w:val="0"/>
      <w:marRight w:val="0"/>
      <w:marTop w:val="0"/>
      <w:marBottom w:val="0"/>
      <w:divBdr>
        <w:top w:val="none" w:sz="0" w:space="0" w:color="auto"/>
        <w:left w:val="none" w:sz="0" w:space="0" w:color="auto"/>
        <w:bottom w:val="none" w:sz="0" w:space="0" w:color="auto"/>
        <w:right w:val="none" w:sz="0" w:space="0" w:color="auto"/>
      </w:divBdr>
    </w:div>
    <w:div w:id="20580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mc.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erschner\AppData\Local\Microsoft\Windows\Temporary%20Internet%20Files\Content.Outlook\4M2LS2M2\2018_03_05_Presseinformation.dotx" TargetMode="External"/></Relationships>
</file>

<file path=word/theme/theme1.xml><?xml version="1.0" encoding="utf-8"?>
<a:theme xmlns:a="http://schemas.openxmlformats.org/drawingml/2006/main" name="SMC">
  <a:themeElements>
    <a:clrScheme name="Benutzerdefiniert 1">
      <a:dk1>
        <a:sysClr val="windowText" lastClr="000000"/>
      </a:dk1>
      <a:lt1>
        <a:sysClr val="window" lastClr="FFFFFF"/>
      </a:lt1>
      <a:dk2>
        <a:srgbClr val="7E8C97"/>
      </a:dk2>
      <a:lt2>
        <a:srgbClr val="A6A6A6"/>
      </a:lt2>
      <a:accent1>
        <a:srgbClr val="2A60AA"/>
      </a:accent1>
      <a:accent2>
        <a:srgbClr val="2690C1"/>
      </a:accent2>
      <a:accent3>
        <a:srgbClr val="24AFB7"/>
      </a:accent3>
      <a:accent4>
        <a:srgbClr val="263FC1"/>
      </a:accent4>
      <a:accent5>
        <a:srgbClr val="4472C4"/>
      </a:accent5>
      <a:accent6>
        <a:srgbClr val="A6A6A6"/>
      </a:accent6>
      <a:hlink>
        <a:srgbClr val="5A5A5A"/>
      </a:hlink>
      <a:folHlink>
        <a:srgbClr val="48A1FA"/>
      </a:folHlink>
    </a:clrScheme>
    <a:fontScheme name="SMC Schrift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MC" id="{60C25F77-9737-43AB-9064-DBD1CC21404E}" vid="{64EE948B-29F8-4328-9BCB-94AD85AD56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9EFE7-9052-456A-90B9-4243F4E7B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2018_03_05_Presseinformation.dotx</Template>
  <TotalTime>0</TotalTime>
  <Pages>4</Pages>
  <Words>887</Words>
  <Characters>5590</Characters>
  <Application>Microsoft Office Word</Application>
  <DocSecurity>4</DocSecurity>
  <Lines>46</Lines>
  <Paragraphs>12</Paragraphs>
  <ScaleCrop>false</ScaleCrop>
  <HeadingPairs>
    <vt:vector size="2" baseType="variant">
      <vt:variant>
        <vt:lpstr>Titel</vt:lpstr>
      </vt:variant>
      <vt:variant>
        <vt:i4>1</vt:i4>
      </vt:variant>
    </vt:vector>
  </HeadingPairs>
  <TitlesOfParts>
    <vt:vector size="1" baseType="lpstr">
      <vt:lpstr>SMC Presseinformation</vt:lpstr>
    </vt:vector>
  </TitlesOfParts>
  <Company>SMC Deutschland</Company>
  <LinksUpToDate>false</LinksUpToDate>
  <CharactersWithSpaces>6465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SMC Presseinformation</dc:title>
  <dc:subject>VXB</dc:subject>
  <dc:creator>Brigitte Martinez-Mendez</dc:creator>
  <cp:keywords>HRSE</cp:keywords>
  <dc:description/>
  <cp:lastModifiedBy>Anne Heidrich</cp:lastModifiedBy>
  <cp:revision>2</cp:revision>
  <cp:lastPrinted>2020-08-19T13:25:00Z</cp:lastPrinted>
  <dcterms:created xsi:type="dcterms:W3CDTF">2023-06-21T07:39:00Z</dcterms:created>
  <dcterms:modified xsi:type="dcterms:W3CDTF">2023-06-21T07:39:00Z</dcterms:modified>
</cp:coreProperties>
</file>