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D57E4" w14:textId="77777777" w:rsidR="0062542D" w:rsidRPr="0062542D" w:rsidRDefault="00C01362" w:rsidP="0062542D">
      <w:pPr>
        <w:pStyle w:val="SMCTemplate"/>
        <w:spacing w:before="0" w:after="0"/>
        <w:jc w:val="right"/>
        <w:rPr>
          <w:sz w:val="44"/>
          <w:szCs w:val="44"/>
        </w:rPr>
      </w:pPr>
      <w:r w:rsidRPr="0062542D">
        <w:rPr>
          <w:sz w:val="44"/>
          <w:szCs w:val="44"/>
        </w:rPr>
        <w:t>Presseinformation</w:t>
      </w:r>
    </w:p>
    <w:p w14:paraId="7651B8B1" w14:textId="79EE5042" w:rsidR="0062542D" w:rsidRPr="0062542D" w:rsidRDefault="005E052A" w:rsidP="0062542D">
      <w:pPr>
        <w:spacing w:before="120"/>
        <w:jc w:val="right"/>
      </w:pPr>
      <w:r>
        <w:t xml:space="preserve">Egelsbach, </w:t>
      </w:r>
      <w:r w:rsidR="00BF3211">
        <w:t xml:space="preserve">September </w:t>
      </w:r>
      <w:r w:rsidR="004E0FED">
        <w:t>20</w:t>
      </w:r>
      <w:r w:rsidR="002537F4">
        <w:t>2</w:t>
      </w:r>
      <w:r w:rsidR="00DD1397">
        <w:t>2</w:t>
      </w:r>
    </w:p>
    <w:p w14:paraId="6FE2960A" w14:textId="77777777" w:rsidR="004D25B1" w:rsidRPr="004D25B1" w:rsidRDefault="004D25B1" w:rsidP="004D25B1">
      <w:pPr>
        <w:pStyle w:val="SMCUntertitel"/>
        <w:spacing w:after="0"/>
        <w:rPr>
          <w:b/>
          <w:sz w:val="30"/>
          <w:szCs w:val="30"/>
        </w:rPr>
      </w:pPr>
    </w:p>
    <w:p w14:paraId="0D968162" w14:textId="7ABF1771" w:rsidR="007C0722" w:rsidRDefault="006019CE" w:rsidP="00D845E7">
      <w:pPr>
        <w:pStyle w:val="SMCUntertitel"/>
        <w:spacing w:before="0" w:after="0"/>
        <w:rPr>
          <w:b/>
          <w:sz w:val="30"/>
          <w:szCs w:val="30"/>
        </w:rPr>
      </w:pPr>
      <w:r>
        <w:rPr>
          <w:b/>
          <w:bCs/>
          <w:sz w:val="30"/>
          <w:szCs w:val="30"/>
        </w:rPr>
        <w:t>Alles unter Kontrolle: Feldbuskompatible Vakuumeinheit der Serie ZKJ bietet umfassende Fernsteuerung und -überwachung</w:t>
      </w:r>
    </w:p>
    <w:p w14:paraId="563F509E" w14:textId="77777777" w:rsidR="007D183E" w:rsidRDefault="007D183E" w:rsidP="0062542D">
      <w:pPr>
        <w:pStyle w:val="SMCUntertitel"/>
        <w:spacing w:before="120" w:after="0"/>
        <w:rPr>
          <w:b/>
          <w:sz w:val="30"/>
          <w:szCs w:val="30"/>
        </w:rPr>
      </w:pPr>
    </w:p>
    <w:p w14:paraId="49FD46D6" w14:textId="198E8A71" w:rsidR="00391B6E" w:rsidRDefault="006C222B" w:rsidP="004B36C8">
      <w:pPr>
        <w:spacing w:line="360" w:lineRule="atLeast"/>
        <w:rPr>
          <w:rFonts w:asciiTheme="majorHAnsi" w:eastAsiaTheme="majorEastAsia" w:hAnsiTheme="majorHAnsi" w:cstheme="majorBidi"/>
          <w:b/>
          <w:szCs w:val="32"/>
        </w:rPr>
      </w:pPr>
      <w:r>
        <w:rPr>
          <w:rFonts w:asciiTheme="majorHAnsi" w:eastAsiaTheme="majorEastAsia" w:hAnsiTheme="majorHAnsi" w:cstheme="majorBidi"/>
          <w:b/>
          <w:szCs w:val="32"/>
        </w:rPr>
        <w:t xml:space="preserve">Die Vakuumtechnik bietet viele Vorteile für unterschiedlichste Industrieanwendungen. Dabei </w:t>
      </w:r>
      <w:r w:rsidR="00864A82">
        <w:rPr>
          <w:rFonts w:asciiTheme="majorHAnsi" w:eastAsiaTheme="majorEastAsia" w:hAnsiTheme="majorHAnsi" w:cstheme="majorBidi"/>
          <w:b/>
          <w:szCs w:val="32"/>
        </w:rPr>
        <w:t xml:space="preserve">spielt die Prozesssicherheit eine </w:t>
      </w:r>
      <w:r w:rsidR="00F26A4A">
        <w:rPr>
          <w:rFonts w:asciiTheme="majorHAnsi" w:eastAsiaTheme="majorEastAsia" w:hAnsiTheme="majorHAnsi" w:cstheme="majorBidi"/>
          <w:b/>
          <w:szCs w:val="32"/>
        </w:rPr>
        <w:t xml:space="preserve">wichtige </w:t>
      </w:r>
      <w:r w:rsidR="00864A82">
        <w:rPr>
          <w:rFonts w:asciiTheme="majorHAnsi" w:eastAsiaTheme="majorEastAsia" w:hAnsiTheme="majorHAnsi" w:cstheme="majorBidi"/>
          <w:b/>
          <w:szCs w:val="32"/>
        </w:rPr>
        <w:t>Rolle</w:t>
      </w:r>
      <w:r w:rsidR="00F26A4A">
        <w:rPr>
          <w:rFonts w:asciiTheme="majorHAnsi" w:eastAsiaTheme="majorEastAsia" w:hAnsiTheme="majorHAnsi" w:cstheme="majorBidi"/>
          <w:b/>
          <w:szCs w:val="32"/>
        </w:rPr>
        <w:t>:</w:t>
      </w:r>
      <w:r w:rsidR="00864A82">
        <w:rPr>
          <w:rFonts w:asciiTheme="majorHAnsi" w:eastAsiaTheme="majorEastAsia" w:hAnsiTheme="majorHAnsi" w:cstheme="majorBidi"/>
          <w:b/>
          <w:szCs w:val="32"/>
        </w:rPr>
        <w:t xml:space="preserve"> Sie hängt davon ab, ob die Vakuumerzeugung und -aufrechterhaltung </w:t>
      </w:r>
      <w:proofErr w:type="gramStart"/>
      <w:r w:rsidR="00864A82">
        <w:rPr>
          <w:rFonts w:asciiTheme="majorHAnsi" w:eastAsiaTheme="majorEastAsia" w:hAnsiTheme="majorHAnsi" w:cstheme="majorBidi"/>
          <w:b/>
          <w:szCs w:val="32"/>
        </w:rPr>
        <w:t>gewährleistet</w:t>
      </w:r>
      <w:proofErr w:type="gramEnd"/>
      <w:r w:rsidR="00864A82">
        <w:rPr>
          <w:rFonts w:asciiTheme="majorHAnsi" w:eastAsiaTheme="majorEastAsia" w:hAnsiTheme="majorHAnsi" w:cstheme="majorBidi"/>
          <w:b/>
          <w:szCs w:val="32"/>
        </w:rPr>
        <w:t xml:space="preserve"> werden </w:t>
      </w:r>
      <w:r w:rsidR="00F26A4A">
        <w:rPr>
          <w:rFonts w:asciiTheme="majorHAnsi" w:eastAsiaTheme="majorEastAsia" w:hAnsiTheme="majorHAnsi" w:cstheme="majorBidi"/>
          <w:b/>
          <w:szCs w:val="32"/>
        </w:rPr>
        <w:t>können</w:t>
      </w:r>
      <w:r w:rsidR="00864A82">
        <w:rPr>
          <w:rFonts w:asciiTheme="majorHAnsi" w:eastAsiaTheme="majorEastAsia" w:hAnsiTheme="majorHAnsi" w:cstheme="majorBidi"/>
          <w:b/>
          <w:szCs w:val="32"/>
        </w:rPr>
        <w:t xml:space="preserve">. Zugleich </w:t>
      </w:r>
      <w:r w:rsidR="00F26A4A">
        <w:rPr>
          <w:rFonts w:asciiTheme="majorHAnsi" w:eastAsiaTheme="majorEastAsia" w:hAnsiTheme="majorHAnsi" w:cstheme="majorBidi"/>
          <w:b/>
          <w:szCs w:val="32"/>
        </w:rPr>
        <w:t xml:space="preserve">stehen </w:t>
      </w:r>
      <w:r w:rsidR="007E22D5">
        <w:rPr>
          <w:rFonts w:asciiTheme="majorHAnsi" w:eastAsiaTheme="majorEastAsia" w:hAnsiTheme="majorHAnsi" w:cstheme="majorBidi"/>
          <w:b/>
          <w:szCs w:val="32"/>
        </w:rPr>
        <w:t xml:space="preserve">auch die Themen Energieeffizienz und Nachhaltigkeit </w:t>
      </w:r>
      <w:r w:rsidR="00F26A4A">
        <w:rPr>
          <w:rFonts w:asciiTheme="majorHAnsi" w:eastAsiaTheme="majorEastAsia" w:hAnsiTheme="majorHAnsi" w:cstheme="majorBidi"/>
          <w:b/>
          <w:szCs w:val="32"/>
        </w:rPr>
        <w:t>verstärkt im</w:t>
      </w:r>
      <w:r w:rsidR="007E22D5">
        <w:rPr>
          <w:rFonts w:asciiTheme="majorHAnsi" w:eastAsiaTheme="majorEastAsia" w:hAnsiTheme="majorHAnsi" w:cstheme="majorBidi"/>
          <w:b/>
          <w:szCs w:val="32"/>
        </w:rPr>
        <w:t xml:space="preserve"> Fokus. Mit der feldbuskompatiblen Vakuumeinheit der Serie ZKJ zeigt SMC, wie diese und weitere Anforderungen in einem Gerät </w:t>
      </w:r>
      <w:r w:rsidR="00DC3CF6">
        <w:rPr>
          <w:rFonts w:asciiTheme="majorHAnsi" w:eastAsiaTheme="majorEastAsia" w:hAnsiTheme="majorHAnsi" w:cstheme="majorBidi"/>
          <w:b/>
          <w:szCs w:val="32"/>
        </w:rPr>
        <w:t xml:space="preserve">in Einklang kommen. So </w:t>
      </w:r>
      <w:r w:rsidR="00391B6E">
        <w:rPr>
          <w:rFonts w:asciiTheme="majorHAnsi" w:eastAsiaTheme="majorEastAsia" w:hAnsiTheme="majorHAnsi" w:cstheme="majorBidi"/>
          <w:b/>
          <w:szCs w:val="32"/>
        </w:rPr>
        <w:t xml:space="preserve">verfügt die neue Lösung über PROFINET-fähige Kommunikation, die </w:t>
      </w:r>
      <w:r w:rsidR="00F26A4A">
        <w:rPr>
          <w:rFonts w:asciiTheme="majorHAnsi" w:eastAsiaTheme="majorEastAsia" w:hAnsiTheme="majorHAnsi" w:cstheme="majorBidi"/>
          <w:b/>
          <w:szCs w:val="32"/>
        </w:rPr>
        <w:t xml:space="preserve">eine </w:t>
      </w:r>
      <w:r w:rsidR="00391B6E">
        <w:rPr>
          <w:rFonts w:asciiTheme="majorHAnsi" w:eastAsiaTheme="majorEastAsia" w:hAnsiTheme="majorHAnsi" w:cstheme="majorBidi"/>
          <w:b/>
          <w:szCs w:val="32"/>
        </w:rPr>
        <w:t xml:space="preserve">umfangreiche </w:t>
      </w:r>
      <w:r w:rsidR="00386F38">
        <w:rPr>
          <w:rFonts w:asciiTheme="majorHAnsi" w:eastAsiaTheme="majorEastAsia" w:hAnsiTheme="majorHAnsi" w:cstheme="majorBidi"/>
          <w:b/>
          <w:szCs w:val="32"/>
        </w:rPr>
        <w:t>(Fern-)</w:t>
      </w:r>
      <w:r w:rsidR="00391B6E">
        <w:rPr>
          <w:rFonts w:asciiTheme="majorHAnsi" w:eastAsiaTheme="majorEastAsia" w:hAnsiTheme="majorHAnsi" w:cstheme="majorBidi"/>
          <w:b/>
          <w:szCs w:val="32"/>
        </w:rPr>
        <w:t xml:space="preserve">Steuerung und Überwachung ermöglicht. Darüber hinaus erhalten Anwender einen hohen Saugvolumenstrom bei zugleich niedrigem Energieverbrauch. </w:t>
      </w:r>
    </w:p>
    <w:p w14:paraId="5124551C" w14:textId="0D6DE599" w:rsidR="00A62150" w:rsidRDefault="00391B6E" w:rsidP="004B36C8">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Cs/>
          <w:szCs w:val="32"/>
        </w:rPr>
        <w:t>Von Transfer- und Fördersystemen über automatische Montagemaschinen bis hin zum Verpack</w:t>
      </w:r>
      <w:r w:rsidR="00DB1CBC">
        <w:rPr>
          <w:rFonts w:asciiTheme="majorHAnsi" w:eastAsiaTheme="majorEastAsia" w:hAnsiTheme="majorHAnsi" w:cstheme="majorBidi"/>
          <w:bCs/>
          <w:szCs w:val="32"/>
        </w:rPr>
        <w:t xml:space="preserve">en </w:t>
      </w:r>
      <w:r>
        <w:rPr>
          <w:rFonts w:asciiTheme="majorHAnsi" w:eastAsiaTheme="majorEastAsia" w:hAnsiTheme="majorHAnsi" w:cstheme="majorBidi"/>
          <w:bCs/>
          <w:szCs w:val="32"/>
        </w:rPr>
        <w:t xml:space="preserve">und Entpacken: </w:t>
      </w:r>
      <w:r w:rsidR="00BC2FA3">
        <w:rPr>
          <w:rFonts w:asciiTheme="majorHAnsi" w:eastAsiaTheme="majorEastAsia" w:hAnsiTheme="majorHAnsi" w:cstheme="majorBidi"/>
          <w:bCs/>
          <w:szCs w:val="32"/>
        </w:rPr>
        <w:t xml:space="preserve">Anwendungen mit Vakuumtechnik haben sich branchenweit etabliert. </w:t>
      </w:r>
      <w:r w:rsidR="00DB1CBC">
        <w:rPr>
          <w:rFonts w:asciiTheme="majorHAnsi" w:eastAsiaTheme="majorEastAsia" w:hAnsiTheme="majorHAnsi" w:cstheme="majorBidi"/>
          <w:bCs/>
          <w:szCs w:val="32"/>
        </w:rPr>
        <w:t xml:space="preserve">Um hierbei hohe Prozesssicherheit, Effizienz und Energiesparsamkeit zu gewährleisten, hat SMC die </w:t>
      </w:r>
      <w:r w:rsidR="004F6FB2">
        <w:rPr>
          <w:rFonts w:asciiTheme="majorHAnsi" w:eastAsiaTheme="majorEastAsia" w:hAnsiTheme="majorHAnsi" w:cstheme="majorBidi"/>
          <w:bCs/>
          <w:szCs w:val="32"/>
        </w:rPr>
        <w:t xml:space="preserve">Vakuumeinheit der </w:t>
      </w:r>
      <w:r w:rsidR="00DB1CBC">
        <w:rPr>
          <w:rFonts w:asciiTheme="majorHAnsi" w:eastAsiaTheme="majorEastAsia" w:hAnsiTheme="majorHAnsi" w:cstheme="majorBidi"/>
          <w:bCs/>
          <w:szCs w:val="32"/>
        </w:rPr>
        <w:t>Serie</w:t>
      </w:r>
      <w:r w:rsidR="004F6FB2">
        <w:rPr>
          <w:rFonts w:asciiTheme="majorHAnsi" w:eastAsiaTheme="majorEastAsia" w:hAnsiTheme="majorHAnsi" w:cstheme="majorBidi"/>
          <w:bCs/>
          <w:szCs w:val="32"/>
        </w:rPr>
        <w:t xml:space="preserve"> ZKJ für Feldbussysteme entwickelt. Dank der umfassenden </w:t>
      </w:r>
      <w:r w:rsidR="00386F38">
        <w:rPr>
          <w:rFonts w:asciiTheme="majorHAnsi" w:eastAsiaTheme="majorEastAsia" w:hAnsiTheme="majorHAnsi" w:cstheme="majorBidi"/>
          <w:bCs/>
          <w:szCs w:val="32"/>
        </w:rPr>
        <w:t>(Fern-)</w:t>
      </w:r>
      <w:r w:rsidR="005C22B1">
        <w:rPr>
          <w:rFonts w:asciiTheme="majorHAnsi" w:eastAsiaTheme="majorEastAsia" w:hAnsiTheme="majorHAnsi" w:cstheme="majorBidi"/>
          <w:bCs/>
          <w:szCs w:val="32"/>
        </w:rPr>
        <w:br/>
      </w:r>
      <w:r w:rsidR="004F6FB2">
        <w:rPr>
          <w:rFonts w:asciiTheme="majorHAnsi" w:eastAsiaTheme="majorEastAsia" w:hAnsiTheme="majorHAnsi" w:cstheme="majorBidi"/>
          <w:bCs/>
          <w:szCs w:val="32"/>
        </w:rPr>
        <w:t>Steuerungs- und Überwachungsfähigkeit profitieren</w:t>
      </w:r>
      <w:r w:rsidR="003D150E">
        <w:rPr>
          <w:rFonts w:asciiTheme="majorHAnsi" w:eastAsiaTheme="majorEastAsia" w:hAnsiTheme="majorHAnsi" w:cstheme="majorBidi"/>
          <w:bCs/>
          <w:szCs w:val="32"/>
        </w:rPr>
        <w:t xml:space="preserve"> </w:t>
      </w:r>
      <w:r w:rsidR="003D150E" w:rsidRPr="00AB1F81">
        <w:rPr>
          <w:rFonts w:asciiTheme="majorHAnsi" w:eastAsiaTheme="majorEastAsia" w:hAnsiTheme="majorHAnsi" w:cstheme="majorBidi"/>
          <w:bCs/>
          <w:szCs w:val="32"/>
        </w:rPr>
        <w:t>Unternehmen</w:t>
      </w:r>
      <w:r w:rsidR="004F6FB2" w:rsidRPr="00AB1F81">
        <w:rPr>
          <w:rFonts w:asciiTheme="majorHAnsi" w:eastAsiaTheme="majorEastAsia" w:hAnsiTheme="majorHAnsi" w:cstheme="majorBidi"/>
          <w:bCs/>
          <w:szCs w:val="32"/>
        </w:rPr>
        <w:t xml:space="preserve"> unter anderem von kürzeren Zykluszeiten, sicheren Anwendungen</w:t>
      </w:r>
      <w:r w:rsidR="006006B6" w:rsidRPr="00AB1F81">
        <w:rPr>
          <w:rFonts w:asciiTheme="majorHAnsi" w:eastAsiaTheme="majorEastAsia" w:hAnsiTheme="majorHAnsi" w:cstheme="majorBidi"/>
          <w:bCs/>
          <w:szCs w:val="32"/>
        </w:rPr>
        <w:t xml:space="preserve">, einer Zeitersparnis durch </w:t>
      </w:r>
      <w:r w:rsidR="003D150E" w:rsidRPr="00AB1F81">
        <w:rPr>
          <w:rFonts w:asciiTheme="majorHAnsi" w:eastAsiaTheme="majorEastAsia" w:hAnsiTheme="majorHAnsi" w:cstheme="majorBidi"/>
          <w:bCs/>
          <w:szCs w:val="32"/>
        </w:rPr>
        <w:t>die Möglichkeit zur Fernüberwachung des Vakuumsystems</w:t>
      </w:r>
      <w:r w:rsidR="006006B6" w:rsidRPr="00AB1F81">
        <w:rPr>
          <w:rFonts w:asciiTheme="majorHAnsi" w:eastAsiaTheme="majorEastAsia" w:hAnsiTheme="majorHAnsi" w:cstheme="majorBidi"/>
          <w:bCs/>
          <w:szCs w:val="32"/>
        </w:rPr>
        <w:t xml:space="preserve"> </w:t>
      </w:r>
      <w:r w:rsidR="00403195" w:rsidRPr="00AB1F81">
        <w:rPr>
          <w:rFonts w:asciiTheme="majorHAnsi" w:eastAsiaTheme="majorEastAsia" w:hAnsiTheme="majorHAnsi" w:cstheme="majorBidi"/>
          <w:bCs/>
          <w:szCs w:val="32"/>
        </w:rPr>
        <w:t>und</w:t>
      </w:r>
      <w:r w:rsidR="006006B6" w:rsidRPr="00AB1F81">
        <w:rPr>
          <w:rFonts w:asciiTheme="majorHAnsi" w:eastAsiaTheme="majorEastAsia" w:hAnsiTheme="majorHAnsi" w:cstheme="majorBidi"/>
          <w:bCs/>
          <w:szCs w:val="32"/>
        </w:rPr>
        <w:t xml:space="preserve"> einer verbesserte</w:t>
      </w:r>
      <w:r w:rsidR="00E5072B" w:rsidRPr="00AB1F81">
        <w:rPr>
          <w:rFonts w:asciiTheme="majorHAnsi" w:eastAsiaTheme="majorEastAsia" w:hAnsiTheme="majorHAnsi" w:cstheme="majorBidi"/>
          <w:bCs/>
          <w:szCs w:val="32"/>
        </w:rPr>
        <w:t>n</w:t>
      </w:r>
      <w:r w:rsidR="006006B6" w:rsidRPr="00AB1F81">
        <w:rPr>
          <w:rFonts w:asciiTheme="majorHAnsi" w:eastAsiaTheme="majorEastAsia" w:hAnsiTheme="majorHAnsi" w:cstheme="majorBidi"/>
          <w:bCs/>
          <w:szCs w:val="32"/>
        </w:rPr>
        <w:t xml:space="preserve"> Energieeffizienz. Weitere Vorteile ergeben sich durch</w:t>
      </w:r>
      <w:r w:rsidR="006006B6">
        <w:rPr>
          <w:rFonts w:asciiTheme="majorHAnsi" w:eastAsiaTheme="majorEastAsia" w:hAnsiTheme="majorHAnsi" w:cstheme="majorBidi"/>
          <w:bCs/>
          <w:szCs w:val="32"/>
        </w:rPr>
        <w:t xml:space="preserve"> den modularen Aufbau </w:t>
      </w:r>
      <w:r w:rsidR="00403195">
        <w:rPr>
          <w:rFonts w:asciiTheme="majorHAnsi" w:eastAsiaTheme="majorEastAsia" w:hAnsiTheme="majorHAnsi" w:cstheme="majorBidi"/>
          <w:bCs/>
          <w:szCs w:val="32"/>
        </w:rPr>
        <w:t>sowie d</w:t>
      </w:r>
      <w:r w:rsidR="00E5072B">
        <w:rPr>
          <w:rFonts w:asciiTheme="majorHAnsi" w:eastAsiaTheme="majorEastAsia" w:hAnsiTheme="majorHAnsi" w:cstheme="majorBidi"/>
          <w:bCs/>
          <w:szCs w:val="32"/>
        </w:rPr>
        <w:t>as</w:t>
      </w:r>
      <w:r w:rsidR="00403195">
        <w:rPr>
          <w:rFonts w:asciiTheme="majorHAnsi" w:eastAsiaTheme="majorEastAsia" w:hAnsiTheme="majorHAnsi" w:cstheme="majorBidi"/>
          <w:bCs/>
          <w:szCs w:val="32"/>
        </w:rPr>
        <w:t xml:space="preserve"> kompakte und leichte Konstruktionsdesign </w:t>
      </w:r>
      <w:r w:rsidR="006006B6">
        <w:rPr>
          <w:rFonts w:asciiTheme="majorHAnsi" w:eastAsiaTheme="majorEastAsia" w:hAnsiTheme="majorHAnsi" w:cstheme="majorBidi"/>
          <w:bCs/>
          <w:szCs w:val="32"/>
        </w:rPr>
        <w:t>der Vakuumeinheit</w:t>
      </w:r>
      <w:r w:rsidR="00403195">
        <w:rPr>
          <w:rFonts w:asciiTheme="majorHAnsi" w:eastAsiaTheme="majorEastAsia" w:hAnsiTheme="majorHAnsi" w:cstheme="majorBidi"/>
          <w:bCs/>
          <w:szCs w:val="32"/>
        </w:rPr>
        <w:t xml:space="preserve">, der Schutzart IP65 wie auch der vereinfachten Verkabelung und Verschlauchung. </w:t>
      </w:r>
      <w:r w:rsidR="00535D60">
        <w:rPr>
          <w:rFonts w:asciiTheme="majorHAnsi" w:eastAsiaTheme="majorEastAsia" w:hAnsiTheme="majorHAnsi" w:cstheme="majorBidi"/>
          <w:bCs/>
          <w:szCs w:val="32"/>
        </w:rPr>
        <w:t xml:space="preserve">Die Kompatibilität mit modernen Feldbussystemen stellt zudem sicher, dass </w:t>
      </w:r>
      <w:r w:rsidR="00A62150">
        <w:rPr>
          <w:rFonts w:asciiTheme="majorHAnsi" w:eastAsiaTheme="majorEastAsia" w:hAnsiTheme="majorHAnsi" w:cstheme="majorBidi"/>
          <w:bCs/>
          <w:szCs w:val="32"/>
        </w:rPr>
        <w:t>Anwendungen auch in Zukunft</w:t>
      </w:r>
      <w:r w:rsidR="00535D60">
        <w:rPr>
          <w:rFonts w:asciiTheme="majorHAnsi" w:eastAsiaTheme="majorEastAsia" w:hAnsiTheme="majorHAnsi" w:cstheme="majorBidi"/>
          <w:bCs/>
          <w:szCs w:val="32"/>
        </w:rPr>
        <w:t xml:space="preserve"> Industrie 4.0</w:t>
      </w:r>
      <w:r w:rsidR="00A62150">
        <w:rPr>
          <w:rFonts w:asciiTheme="majorHAnsi" w:eastAsiaTheme="majorEastAsia" w:hAnsiTheme="majorHAnsi" w:cstheme="majorBidi"/>
          <w:bCs/>
          <w:szCs w:val="32"/>
        </w:rPr>
        <w:t>-ready sind.</w:t>
      </w:r>
    </w:p>
    <w:p w14:paraId="7401684F" w14:textId="183D319F" w:rsidR="006C222B" w:rsidRDefault="00F35C7E" w:rsidP="004B36C8">
      <w:pPr>
        <w:spacing w:line="360" w:lineRule="atLeast"/>
        <w:rPr>
          <w:rFonts w:asciiTheme="majorHAnsi" w:eastAsiaTheme="majorEastAsia" w:hAnsiTheme="majorHAnsi" w:cstheme="majorBidi"/>
          <w:bCs/>
          <w:szCs w:val="32"/>
        </w:rPr>
      </w:pPr>
      <w:r w:rsidRPr="00F35C7E">
        <w:rPr>
          <w:rFonts w:asciiTheme="majorHAnsi" w:eastAsiaTheme="majorEastAsia" w:hAnsiTheme="majorHAnsi" w:cstheme="majorBidi"/>
          <w:b/>
          <w:szCs w:val="32"/>
        </w:rPr>
        <w:t>Volle Kontrolle und Transparenz</w:t>
      </w:r>
      <w:r w:rsidRPr="00F35C7E">
        <w:rPr>
          <w:rFonts w:asciiTheme="majorHAnsi" w:eastAsiaTheme="majorEastAsia" w:hAnsiTheme="majorHAnsi" w:cstheme="majorBidi"/>
          <w:b/>
          <w:szCs w:val="32"/>
        </w:rPr>
        <w:br/>
      </w:r>
      <w:r w:rsidRPr="00F35C7E">
        <w:rPr>
          <w:rFonts w:asciiTheme="majorHAnsi" w:eastAsiaTheme="majorEastAsia" w:hAnsiTheme="majorHAnsi" w:cstheme="majorBidi"/>
          <w:bCs/>
          <w:szCs w:val="32"/>
        </w:rPr>
        <w:t>Dank</w:t>
      </w:r>
      <w:r>
        <w:rPr>
          <w:rFonts w:asciiTheme="majorHAnsi" w:eastAsiaTheme="majorEastAsia" w:hAnsiTheme="majorHAnsi" w:cstheme="majorBidi"/>
          <w:bCs/>
          <w:szCs w:val="32"/>
        </w:rPr>
        <w:t xml:space="preserve"> der</w:t>
      </w:r>
      <w:r w:rsidR="00535D60" w:rsidRPr="00F35C7E">
        <w:rPr>
          <w:rFonts w:asciiTheme="majorHAnsi" w:eastAsiaTheme="majorEastAsia" w:hAnsiTheme="majorHAnsi" w:cstheme="majorBidi"/>
          <w:b/>
          <w:szCs w:val="32"/>
        </w:rPr>
        <w:t xml:space="preserve"> </w:t>
      </w:r>
      <w:r>
        <w:rPr>
          <w:rFonts w:asciiTheme="majorHAnsi" w:eastAsiaTheme="majorEastAsia" w:hAnsiTheme="majorHAnsi" w:cstheme="majorBidi"/>
          <w:bCs/>
          <w:szCs w:val="32"/>
        </w:rPr>
        <w:t>Kommunikation über PROFINET ist die umfassende (Fern</w:t>
      </w:r>
      <w:r w:rsidR="00053DA1">
        <w:rPr>
          <w:rFonts w:asciiTheme="majorHAnsi" w:eastAsiaTheme="majorEastAsia" w:hAnsiTheme="majorHAnsi" w:cstheme="majorBidi"/>
          <w:bCs/>
          <w:szCs w:val="32"/>
        </w:rPr>
        <w:t>-</w:t>
      </w:r>
      <w:r>
        <w:rPr>
          <w:rFonts w:asciiTheme="majorHAnsi" w:eastAsiaTheme="majorEastAsia" w:hAnsiTheme="majorHAnsi" w:cstheme="majorBidi"/>
          <w:bCs/>
          <w:szCs w:val="32"/>
        </w:rPr>
        <w:t xml:space="preserve">)Steuerung </w:t>
      </w:r>
      <w:r w:rsidR="00446B64">
        <w:rPr>
          <w:rFonts w:asciiTheme="majorHAnsi" w:eastAsiaTheme="majorEastAsia" w:hAnsiTheme="majorHAnsi" w:cstheme="majorBidi"/>
          <w:bCs/>
          <w:szCs w:val="32"/>
        </w:rPr>
        <w:t xml:space="preserve">und Überwachung </w:t>
      </w:r>
      <w:r>
        <w:rPr>
          <w:rFonts w:asciiTheme="majorHAnsi" w:eastAsiaTheme="majorEastAsia" w:hAnsiTheme="majorHAnsi" w:cstheme="majorBidi"/>
          <w:bCs/>
          <w:szCs w:val="32"/>
        </w:rPr>
        <w:t>von Komponenten durch Einbindung in die SPS möglich – ohne separate Ein- und Ausgangseinheit.</w:t>
      </w:r>
      <w:r w:rsidR="00446B64">
        <w:rPr>
          <w:rFonts w:asciiTheme="majorHAnsi" w:eastAsiaTheme="majorEastAsia" w:hAnsiTheme="majorHAnsi" w:cstheme="majorBidi"/>
          <w:bCs/>
          <w:szCs w:val="32"/>
        </w:rPr>
        <w:t xml:space="preserve"> So lässt sich das Vakuum etwa genau nach Bedarf erzeugen, während </w:t>
      </w:r>
      <w:r w:rsidR="003F2ADE">
        <w:rPr>
          <w:rFonts w:asciiTheme="majorHAnsi" w:eastAsiaTheme="majorEastAsia" w:hAnsiTheme="majorHAnsi" w:cstheme="majorBidi"/>
          <w:bCs/>
          <w:szCs w:val="32"/>
        </w:rPr>
        <w:t xml:space="preserve">durch die </w:t>
      </w:r>
      <w:r w:rsidR="00446B64">
        <w:rPr>
          <w:rFonts w:asciiTheme="majorHAnsi" w:eastAsiaTheme="majorEastAsia" w:hAnsiTheme="majorHAnsi" w:cstheme="majorBidi"/>
          <w:bCs/>
          <w:szCs w:val="32"/>
        </w:rPr>
        <w:t>gleichzei</w:t>
      </w:r>
      <w:r w:rsidR="003F2ADE">
        <w:rPr>
          <w:rFonts w:asciiTheme="majorHAnsi" w:eastAsiaTheme="majorEastAsia" w:hAnsiTheme="majorHAnsi" w:cstheme="majorBidi"/>
          <w:bCs/>
          <w:szCs w:val="32"/>
        </w:rPr>
        <w:t xml:space="preserve">tig umfangreiche Datenüberprüfung Fehlfunktionen auch remote schnell entdeckt werden. Das ermöglicht die Etablierung von </w:t>
      </w:r>
      <w:proofErr w:type="spellStart"/>
      <w:r w:rsidR="003F2ADE">
        <w:rPr>
          <w:rFonts w:asciiTheme="majorHAnsi" w:eastAsiaTheme="majorEastAsia" w:hAnsiTheme="majorHAnsi" w:cstheme="majorBidi"/>
          <w:bCs/>
          <w:szCs w:val="32"/>
        </w:rPr>
        <w:t>Predictive</w:t>
      </w:r>
      <w:proofErr w:type="spellEnd"/>
      <w:r w:rsidR="003F2ADE">
        <w:rPr>
          <w:rFonts w:asciiTheme="majorHAnsi" w:eastAsiaTheme="majorEastAsia" w:hAnsiTheme="majorHAnsi" w:cstheme="majorBidi"/>
          <w:bCs/>
          <w:szCs w:val="32"/>
        </w:rPr>
        <w:t xml:space="preserve"> Maintenance und </w:t>
      </w:r>
      <w:proofErr w:type="spellStart"/>
      <w:r w:rsidR="003F2ADE">
        <w:rPr>
          <w:rFonts w:asciiTheme="majorHAnsi" w:eastAsiaTheme="majorEastAsia" w:hAnsiTheme="majorHAnsi" w:cstheme="majorBidi"/>
          <w:bCs/>
          <w:szCs w:val="32"/>
        </w:rPr>
        <w:t>Condition</w:t>
      </w:r>
      <w:proofErr w:type="spellEnd"/>
      <w:r w:rsidR="003F2ADE">
        <w:rPr>
          <w:rFonts w:asciiTheme="majorHAnsi" w:eastAsiaTheme="majorEastAsia" w:hAnsiTheme="majorHAnsi" w:cstheme="majorBidi"/>
          <w:bCs/>
          <w:szCs w:val="32"/>
        </w:rPr>
        <w:t xml:space="preserve"> Monitoring</w:t>
      </w:r>
      <w:r w:rsidR="00F333DD">
        <w:rPr>
          <w:rFonts w:asciiTheme="majorHAnsi" w:eastAsiaTheme="majorEastAsia" w:hAnsiTheme="majorHAnsi" w:cstheme="majorBidi"/>
          <w:bCs/>
          <w:szCs w:val="32"/>
        </w:rPr>
        <w:t xml:space="preserve"> bei einer Anlage</w:t>
      </w:r>
      <w:r w:rsidR="00E727C3">
        <w:rPr>
          <w:rFonts w:asciiTheme="majorHAnsi" w:eastAsiaTheme="majorEastAsia" w:hAnsiTheme="majorHAnsi" w:cstheme="majorBidi"/>
          <w:bCs/>
          <w:szCs w:val="32"/>
        </w:rPr>
        <w:t>, verhindert Ausfälle und spart Zeit. Durch das PROFINET</w:t>
      </w:r>
      <w:r w:rsidR="006D1F0E">
        <w:rPr>
          <w:rFonts w:asciiTheme="majorHAnsi" w:eastAsiaTheme="majorEastAsia" w:hAnsiTheme="majorHAnsi" w:cstheme="majorBidi"/>
          <w:bCs/>
          <w:szCs w:val="32"/>
        </w:rPr>
        <w:t>-</w:t>
      </w:r>
      <w:r w:rsidR="00E727C3">
        <w:rPr>
          <w:rFonts w:asciiTheme="majorHAnsi" w:eastAsiaTheme="majorEastAsia" w:hAnsiTheme="majorHAnsi" w:cstheme="majorBidi"/>
          <w:bCs/>
          <w:szCs w:val="32"/>
        </w:rPr>
        <w:t>Protokoll verringert sich a</w:t>
      </w:r>
      <w:r w:rsidR="00456FF9">
        <w:rPr>
          <w:rFonts w:asciiTheme="majorHAnsi" w:eastAsiaTheme="majorEastAsia" w:hAnsiTheme="majorHAnsi" w:cstheme="majorBidi"/>
          <w:bCs/>
          <w:szCs w:val="32"/>
        </w:rPr>
        <w:t xml:space="preserve">uch der Aufwand bei der </w:t>
      </w:r>
      <w:r w:rsidR="00456FF9">
        <w:rPr>
          <w:rFonts w:asciiTheme="majorHAnsi" w:eastAsiaTheme="majorEastAsia" w:hAnsiTheme="majorHAnsi" w:cstheme="majorBidi"/>
          <w:bCs/>
          <w:szCs w:val="32"/>
        </w:rPr>
        <w:lastRenderedPageBreak/>
        <w:t xml:space="preserve">Verkabelung und Verschlauchung – zum einen durch weniger Kabel </w:t>
      </w:r>
      <w:r w:rsidR="006D1F0E">
        <w:rPr>
          <w:rFonts w:asciiTheme="majorHAnsi" w:eastAsiaTheme="majorEastAsia" w:hAnsiTheme="majorHAnsi" w:cstheme="majorBidi"/>
          <w:bCs/>
          <w:szCs w:val="32"/>
        </w:rPr>
        <w:t xml:space="preserve">und </w:t>
      </w:r>
      <w:r w:rsidR="00456FF9">
        <w:rPr>
          <w:rFonts w:asciiTheme="majorHAnsi" w:eastAsiaTheme="majorEastAsia" w:hAnsiTheme="majorHAnsi" w:cstheme="majorBidi"/>
          <w:bCs/>
          <w:szCs w:val="32"/>
        </w:rPr>
        <w:t xml:space="preserve">zum anderen durch den Zugang von </w:t>
      </w:r>
      <w:r w:rsidR="00AD058F">
        <w:rPr>
          <w:rFonts w:asciiTheme="majorHAnsi" w:eastAsiaTheme="majorEastAsia" w:hAnsiTheme="majorHAnsi" w:cstheme="majorBidi"/>
          <w:bCs/>
          <w:szCs w:val="32"/>
        </w:rPr>
        <w:t xml:space="preserve">nur </w:t>
      </w:r>
      <w:r w:rsidR="00456FF9">
        <w:rPr>
          <w:rFonts w:asciiTheme="majorHAnsi" w:eastAsiaTheme="majorEastAsia" w:hAnsiTheme="majorHAnsi" w:cstheme="majorBidi"/>
          <w:bCs/>
          <w:szCs w:val="32"/>
        </w:rPr>
        <w:t>einer Seite.</w:t>
      </w:r>
      <w:r w:rsidR="00AD058F">
        <w:rPr>
          <w:rFonts w:asciiTheme="majorHAnsi" w:eastAsiaTheme="majorEastAsia" w:hAnsiTheme="majorHAnsi" w:cstheme="majorBidi"/>
          <w:bCs/>
          <w:szCs w:val="32"/>
        </w:rPr>
        <w:t xml:space="preserve"> </w:t>
      </w:r>
      <w:r w:rsidR="00AE223D">
        <w:rPr>
          <w:rFonts w:asciiTheme="majorHAnsi" w:eastAsiaTheme="majorEastAsia" w:hAnsiTheme="majorHAnsi" w:cstheme="majorBidi"/>
          <w:bCs/>
          <w:szCs w:val="32"/>
        </w:rPr>
        <w:t>Zudem gestattet die Funktion „</w:t>
      </w:r>
      <w:proofErr w:type="spellStart"/>
      <w:r w:rsidR="00AE223D">
        <w:rPr>
          <w:rFonts w:asciiTheme="majorHAnsi" w:eastAsiaTheme="majorEastAsia" w:hAnsiTheme="majorHAnsi" w:cstheme="majorBidi"/>
          <w:bCs/>
          <w:szCs w:val="32"/>
        </w:rPr>
        <w:t>Shared</w:t>
      </w:r>
      <w:proofErr w:type="spellEnd"/>
      <w:r w:rsidR="00AE223D">
        <w:rPr>
          <w:rFonts w:asciiTheme="majorHAnsi" w:eastAsiaTheme="majorEastAsia" w:hAnsiTheme="majorHAnsi" w:cstheme="majorBidi"/>
          <w:bCs/>
          <w:szCs w:val="32"/>
        </w:rPr>
        <w:t xml:space="preserve"> Device“, dass die an eine SI-Einheit angeschlossenen E/A-Daten von mehreren E/A-Controllern (SPS) gesteuert und kontrolliert werden können – so lassen sich Informationen zusätzlich zur SPS mit bis zu drei Controllern austauschen. Ein schnelles Wiederanfahren</w:t>
      </w:r>
      <w:r w:rsidR="0047537B">
        <w:rPr>
          <w:rFonts w:asciiTheme="majorHAnsi" w:eastAsiaTheme="majorEastAsia" w:hAnsiTheme="majorHAnsi" w:cstheme="majorBidi"/>
          <w:bCs/>
          <w:szCs w:val="32"/>
        </w:rPr>
        <w:t>, bspw. nach einem Werkzeugwechsel, gelingt mittels Schnellstartfunktion von PROFINET: zwischen dem Einschalt</w:t>
      </w:r>
      <w:r w:rsidR="000F48AC">
        <w:rPr>
          <w:rFonts w:asciiTheme="majorHAnsi" w:eastAsiaTheme="majorEastAsia" w:hAnsiTheme="majorHAnsi" w:cstheme="majorBidi"/>
          <w:bCs/>
          <w:szCs w:val="32"/>
        </w:rPr>
        <w:t>en</w:t>
      </w:r>
      <w:r w:rsidR="0047537B">
        <w:rPr>
          <w:rFonts w:asciiTheme="majorHAnsi" w:eastAsiaTheme="majorEastAsia" w:hAnsiTheme="majorHAnsi" w:cstheme="majorBidi"/>
          <w:bCs/>
          <w:szCs w:val="32"/>
        </w:rPr>
        <w:t xml:space="preserve"> bis zur Kommunikationsverbindung vergehen maximal 0,5 s. </w:t>
      </w:r>
      <w:r w:rsidR="000F48AC">
        <w:rPr>
          <w:rFonts w:asciiTheme="majorHAnsi" w:eastAsiaTheme="majorEastAsia" w:hAnsiTheme="majorHAnsi" w:cstheme="majorBidi"/>
          <w:bCs/>
          <w:szCs w:val="32"/>
        </w:rPr>
        <w:t xml:space="preserve">Das Ergebnis ist eine klare Zeitersparnis bei der Inbetriebnahme und damit eine höhere Produktivität. </w:t>
      </w:r>
    </w:p>
    <w:p w14:paraId="68240999" w14:textId="12F0D2F6" w:rsidR="000F48AC" w:rsidRDefault="00F664F1" w:rsidP="004B36C8">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
          <w:szCs w:val="32"/>
        </w:rPr>
        <w:t>Smart designter</w:t>
      </w:r>
      <w:r w:rsidR="000F48AC" w:rsidRPr="000F48AC">
        <w:rPr>
          <w:rFonts w:asciiTheme="majorHAnsi" w:eastAsiaTheme="majorEastAsia" w:hAnsiTheme="majorHAnsi" w:cstheme="majorBidi"/>
          <w:b/>
          <w:szCs w:val="32"/>
        </w:rPr>
        <w:t xml:space="preserve"> Energiesparfuchs</w:t>
      </w:r>
      <w:r w:rsidR="00392AC3">
        <w:rPr>
          <w:rFonts w:asciiTheme="majorHAnsi" w:eastAsiaTheme="majorEastAsia" w:hAnsiTheme="majorHAnsi" w:cstheme="majorBidi"/>
          <w:b/>
          <w:szCs w:val="32"/>
        </w:rPr>
        <w:br/>
      </w:r>
      <w:r w:rsidR="00B22E00">
        <w:rPr>
          <w:rFonts w:asciiTheme="majorHAnsi" w:eastAsiaTheme="majorEastAsia" w:hAnsiTheme="majorHAnsi" w:cstheme="majorBidi"/>
          <w:bCs/>
          <w:szCs w:val="32"/>
        </w:rPr>
        <w:t xml:space="preserve">Die feldbuskompatible Vakuumeinheit der Serie ZKJ überzeugt auch in Sachen Energieverbrauch: </w:t>
      </w:r>
      <w:r w:rsidR="00C547CA">
        <w:rPr>
          <w:rFonts w:asciiTheme="majorHAnsi" w:eastAsiaTheme="majorEastAsia" w:hAnsiTheme="majorHAnsi" w:cstheme="majorBidi"/>
          <w:bCs/>
          <w:szCs w:val="32"/>
        </w:rPr>
        <w:t>Eine</w:t>
      </w:r>
      <w:r w:rsidR="00B22E00">
        <w:rPr>
          <w:rFonts w:asciiTheme="majorHAnsi" w:eastAsiaTheme="majorEastAsia" w:hAnsiTheme="majorHAnsi" w:cstheme="majorBidi"/>
          <w:bCs/>
          <w:szCs w:val="32"/>
        </w:rPr>
        <w:t xml:space="preserve"> Energiesparfunktion</w:t>
      </w:r>
      <w:r w:rsidR="00C547CA">
        <w:rPr>
          <w:rFonts w:asciiTheme="majorHAnsi" w:eastAsiaTheme="majorEastAsia" w:hAnsiTheme="majorHAnsi" w:cstheme="majorBidi"/>
          <w:bCs/>
          <w:szCs w:val="32"/>
        </w:rPr>
        <w:t xml:space="preserve"> verringert den Luftverbrauch um bis zu 90 %. Dahinter steckt zum einen </w:t>
      </w:r>
      <w:r w:rsidR="00B22E00">
        <w:rPr>
          <w:rFonts w:asciiTheme="majorHAnsi" w:eastAsiaTheme="majorEastAsia" w:hAnsiTheme="majorHAnsi" w:cstheme="majorBidi"/>
          <w:bCs/>
          <w:szCs w:val="32"/>
        </w:rPr>
        <w:t>ein eingebautes Rückschlagventil</w:t>
      </w:r>
      <w:r w:rsidR="00C547CA">
        <w:rPr>
          <w:rFonts w:asciiTheme="majorHAnsi" w:eastAsiaTheme="majorEastAsia" w:hAnsiTheme="majorHAnsi" w:cstheme="majorBidi"/>
          <w:bCs/>
          <w:szCs w:val="32"/>
        </w:rPr>
        <w:t xml:space="preserve">, </w:t>
      </w:r>
      <w:r w:rsidR="00B22E00">
        <w:rPr>
          <w:rFonts w:asciiTheme="majorHAnsi" w:eastAsiaTheme="majorEastAsia" w:hAnsiTheme="majorHAnsi" w:cstheme="majorBidi"/>
          <w:bCs/>
          <w:szCs w:val="32"/>
        </w:rPr>
        <w:t xml:space="preserve">das den Vakuumdruck </w:t>
      </w:r>
      <w:r w:rsidR="00C547CA">
        <w:rPr>
          <w:rFonts w:asciiTheme="majorHAnsi" w:eastAsiaTheme="majorEastAsia" w:hAnsiTheme="majorHAnsi" w:cstheme="majorBidi"/>
          <w:bCs/>
          <w:szCs w:val="32"/>
        </w:rPr>
        <w:t xml:space="preserve">bei Werkstücken mit </w:t>
      </w:r>
      <w:r w:rsidR="000648D0">
        <w:rPr>
          <w:rFonts w:asciiTheme="majorHAnsi" w:eastAsiaTheme="majorEastAsia" w:hAnsiTheme="majorHAnsi" w:cstheme="majorBidi"/>
          <w:bCs/>
          <w:szCs w:val="32"/>
        </w:rPr>
        <w:t xml:space="preserve">geringen Leckagen </w:t>
      </w:r>
      <w:r w:rsidR="00C547CA">
        <w:rPr>
          <w:rFonts w:asciiTheme="majorHAnsi" w:eastAsiaTheme="majorEastAsia" w:hAnsiTheme="majorHAnsi" w:cstheme="majorBidi"/>
          <w:bCs/>
          <w:szCs w:val="32"/>
        </w:rPr>
        <w:t>aufrechterhält</w:t>
      </w:r>
      <w:r w:rsidR="000648D0">
        <w:rPr>
          <w:rFonts w:asciiTheme="majorHAnsi" w:eastAsiaTheme="majorEastAsia" w:hAnsiTheme="majorHAnsi" w:cstheme="majorBidi"/>
          <w:bCs/>
          <w:szCs w:val="32"/>
        </w:rPr>
        <w:t xml:space="preserve">. Zum anderen überwacht das Feldbusmodul das Vakuum und schaltet das Versorgungsventil automatisch ab, sobald das Vakuum seinen Sollwert erreicht hat – und schaltet es bei Bedarf wieder ein. </w:t>
      </w:r>
      <w:r w:rsidR="0049674F">
        <w:rPr>
          <w:rFonts w:asciiTheme="majorHAnsi" w:eastAsiaTheme="majorEastAsia" w:hAnsiTheme="majorHAnsi" w:cstheme="majorBidi"/>
          <w:bCs/>
          <w:szCs w:val="32"/>
        </w:rPr>
        <w:t xml:space="preserve">Zugleich wird das Ventil durch eine Ventilschutzfunktion vor Überbeanspruchung geschützt, indem </w:t>
      </w:r>
      <w:r w:rsidR="006D1F0E">
        <w:rPr>
          <w:rFonts w:asciiTheme="majorHAnsi" w:eastAsiaTheme="majorEastAsia" w:hAnsiTheme="majorHAnsi" w:cstheme="majorBidi"/>
          <w:bCs/>
          <w:szCs w:val="32"/>
        </w:rPr>
        <w:t xml:space="preserve">das Energiesparfeature </w:t>
      </w:r>
      <w:r w:rsidR="0049674F">
        <w:rPr>
          <w:rFonts w:asciiTheme="majorHAnsi" w:eastAsiaTheme="majorEastAsia" w:hAnsiTheme="majorHAnsi" w:cstheme="majorBidi"/>
          <w:bCs/>
          <w:szCs w:val="32"/>
        </w:rPr>
        <w:t xml:space="preserve">nach einer voreingestellten Schaltanzahl von Vakuumerzeugungen/-belüftungen </w:t>
      </w:r>
      <w:r w:rsidR="006C16AC">
        <w:rPr>
          <w:rFonts w:asciiTheme="majorHAnsi" w:eastAsiaTheme="majorEastAsia" w:hAnsiTheme="majorHAnsi" w:cstheme="majorBidi"/>
          <w:bCs/>
          <w:szCs w:val="32"/>
        </w:rPr>
        <w:t xml:space="preserve">deaktiviert wird. </w:t>
      </w:r>
    </w:p>
    <w:p w14:paraId="7BBBD841" w14:textId="5C134DE9" w:rsidR="000E169E" w:rsidRDefault="00ED0702" w:rsidP="004B36C8">
      <w:pPr>
        <w:spacing w:line="360" w:lineRule="atLeast"/>
        <w:rPr>
          <w:rFonts w:asciiTheme="majorHAnsi" w:eastAsiaTheme="majorEastAsia" w:hAnsiTheme="majorHAnsi" w:cstheme="majorBidi"/>
          <w:bCs/>
          <w:szCs w:val="32"/>
        </w:rPr>
      </w:pPr>
      <w:r>
        <w:rPr>
          <w:rFonts w:asciiTheme="majorHAnsi" w:eastAsiaTheme="majorEastAsia" w:hAnsiTheme="majorHAnsi" w:cstheme="majorBidi"/>
          <w:bCs/>
          <w:szCs w:val="32"/>
        </w:rPr>
        <w:t xml:space="preserve">Durch den modularen Aufbau der Vakuumeinheit der Serie ZKJ lassen sich nicht nur bis zu 16 Ejektoren zentral mit Druckluft und Energie versorgen, sondern </w:t>
      </w:r>
      <w:r w:rsidR="00C864C3">
        <w:rPr>
          <w:rFonts w:asciiTheme="majorHAnsi" w:eastAsiaTheme="majorEastAsia" w:hAnsiTheme="majorHAnsi" w:cstheme="majorBidi"/>
          <w:bCs/>
          <w:szCs w:val="32"/>
        </w:rPr>
        <w:t xml:space="preserve">zugleich unterschiedliche Vakuum-Kreise aufbauen, um die einfache Handhabung von verschiedenen Teilen zu ermöglichen. Dabei liegt das Gewicht für eine Vakuumeinheit mit 4 Stationen bei lediglich 1,7 kg. Das sorgt für ein geringes Trägheitsmoment – ideal für bewegliche Anwendungen </w:t>
      </w:r>
      <w:r w:rsidR="00414E4E">
        <w:rPr>
          <w:rFonts w:asciiTheme="majorHAnsi" w:eastAsiaTheme="majorEastAsia" w:hAnsiTheme="majorHAnsi" w:cstheme="majorBidi"/>
          <w:bCs/>
          <w:szCs w:val="32"/>
        </w:rPr>
        <w:t>(z.B.</w:t>
      </w:r>
      <w:r w:rsidR="00C864C3">
        <w:rPr>
          <w:rFonts w:asciiTheme="majorHAnsi" w:eastAsiaTheme="majorEastAsia" w:hAnsiTheme="majorHAnsi" w:cstheme="majorBidi"/>
          <w:bCs/>
          <w:szCs w:val="32"/>
        </w:rPr>
        <w:t xml:space="preserve"> Roboterarm</w:t>
      </w:r>
      <w:r w:rsidR="00414E4E">
        <w:rPr>
          <w:rFonts w:asciiTheme="majorHAnsi" w:eastAsiaTheme="majorEastAsia" w:hAnsiTheme="majorHAnsi" w:cstheme="majorBidi"/>
          <w:bCs/>
          <w:szCs w:val="32"/>
        </w:rPr>
        <w:t xml:space="preserve">) mit hoher Dynamik und gleichzeitiger Stabilität. Daneben </w:t>
      </w:r>
      <w:r w:rsidR="00FE44CA">
        <w:rPr>
          <w:rFonts w:asciiTheme="majorHAnsi" w:eastAsiaTheme="majorEastAsia" w:hAnsiTheme="majorHAnsi" w:cstheme="majorBidi"/>
          <w:bCs/>
          <w:szCs w:val="32"/>
        </w:rPr>
        <w:t>schaffen</w:t>
      </w:r>
      <w:r w:rsidR="00414E4E">
        <w:rPr>
          <w:rFonts w:asciiTheme="majorHAnsi" w:eastAsiaTheme="majorEastAsia" w:hAnsiTheme="majorHAnsi" w:cstheme="majorBidi"/>
          <w:bCs/>
          <w:szCs w:val="32"/>
        </w:rPr>
        <w:t xml:space="preserve"> verschiedene </w:t>
      </w:r>
      <w:r w:rsidR="00FE44CA">
        <w:rPr>
          <w:rFonts w:asciiTheme="majorHAnsi" w:eastAsiaTheme="majorEastAsia" w:hAnsiTheme="majorHAnsi" w:cstheme="majorBidi"/>
          <w:bCs/>
          <w:szCs w:val="32"/>
        </w:rPr>
        <w:t xml:space="preserve">Funktionen </w:t>
      </w:r>
      <w:r w:rsidR="00414E4E">
        <w:rPr>
          <w:rFonts w:asciiTheme="majorHAnsi" w:eastAsiaTheme="majorEastAsia" w:hAnsiTheme="majorHAnsi" w:cstheme="majorBidi"/>
          <w:bCs/>
          <w:szCs w:val="32"/>
        </w:rPr>
        <w:t>ein</w:t>
      </w:r>
      <w:r w:rsidR="00FE44CA">
        <w:rPr>
          <w:rFonts w:asciiTheme="majorHAnsi" w:eastAsiaTheme="majorEastAsia" w:hAnsiTheme="majorHAnsi" w:cstheme="majorBidi"/>
          <w:bCs/>
          <w:szCs w:val="32"/>
        </w:rPr>
        <w:t xml:space="preserve">en hohen Grad an Sicherheit: </w:t>
      </w:r>
      <w:r w:rsidR="00645475">
        <w:rPr>
          <w:rFonts w:asciiTheme="majorHAnsi" w:eastAsiaTheme="majorEastAsia" w:hAnsiTheme="majorHAnsi" w:cstheme="majorBidi"/>
          <w:bCs/>
          <w:szCs w:val="32"/>
        </w:rPr>
        <w:t xml:space="preserve">Allem voran </w:t>
      </w:r>
      <w:r w:rsidR="007672AE">
        <w:rPr>
          <w:rFonts w:asciiTheme="majorHAnsi" w:eastAsiaTheme="majorEastAsia" w:hAnsiTheme="majorHAnsi" w:cstheme="majorBidi"/>
          <w:bCs/>
          <w:szCs w:val="32"/>
        </w:rPr>
        <w:t xml:space="preserve">sorgt </w:t>
      </w:r>
      <w:r w:rsidR="00645475">
        <w:rPr>
          <w:rFonts w:asciiTheme="majorHAnsi" w:eastAsiaTheme="majorEastAsia" w:hAnsiTheme="majorHAnsi" w:cstheme="majorBidi"/>
          <w:bCs/>
          <w:szCs w:val="32"/>
        </w:rPr>
        <w:t xml:space="preserve">ein Versorgungsventil in N.O.-Ausführung </w:t>
      </w:r>
      <w:r w:rsidR="000E169E">
        <w:rPr>
          <w:rFonts w:asciiTheme="majorHAnsi" w:eastAsiaTheme="majorEastAsia" w:hAnsiTheme="majorHAnsi" w:cstheme="majorBidi"/>
          <w:bCs/>
          <w:szCs w:val="32"/>
        </w:rPr>
        <w:t>da</w:t>
      </w:r>
      <w:r w:rsidR="007672AE">
        <w:rPr>
          <w:rFonts w:asciiTheme="majorHAnsi" w:eastAsiaTheme="majorEastAsia" w:hAnsiTheme="majorHAnsi" w:cstheme="majorBidi"/>
          <w:bCs/>
          <w:szCs w:val="32"/>
        </w:rPr>
        <w:t>für</w:t>
      </w:r>
      <w:r w:rsidR="000E169E">
        <w:rPr>
          <w:rFonts w:asciiTheme="majorHAnsi" w:eastAsiaTheme="majorEastAsia" w:hAnsiTheme="majorHAnsi" w:cstheme="majorBidi"/>
          <w:bCs/>
          <w:szCs w:val="32"/>
        </w:rPr>
        <w:t>, dass das Vakuum auch bei Unterbrechung der Stromversorgung aufrechterhalten wird. Zudem schützt e</w:t>
      </w:r>
      <w:r w:rsidR="00FE44CA">
        <w:rPr>
          <w:rFonts w:asciiTheme="majorHAnsi" w:eastAsiaTheme="majorEastAsia" w:hAnsiTheme="majorHAnsi" w:cstheme="majorBidi"/>
          <w:bCs/>
          <w:szCs w:val="32"/>
        </w:rPr>
        <w:t xml:space="preserve">in </w:t>
      </w:r>
      <w:r w:rsidR="00414E4E">
        <w:rPr>
          <w:rFonts w:asciiTheme="majorHAnsi" w:eastAsiaTheme="majorEastAsia" w:hAnsiTheme="majorHAnsi" w:cstheme="majorBidi"/>
          <w:bCs/>
          <w:szCs w:val="32"/>
        </w:rPr>
        <w:t xml:space="preserve">in </w:t>
      </w:r>
      <w:r w:rsidR="006D1F0E">
        <w:rPr>
          <w:rFonts w:asciiTheme="majorHAnsi" w:eastAsiaTheme="majorEastAsia" w:hAnsiTheme="majorHAnsi" w:cstheme="majorBidi"/>
          <w:bCs/>
          <w:szCs w:val="32"/>
        </w:rPr>
        <w:t xml:space="preserve">nur </w:t>
      </w:r>
      <w:r w:rsidR="00414E4E">
        <w:rPr>
          <w:rFonts w:asciiTheme="majorHAnsi" w:eastAsiaTheme="majorEastAsia" w:hAnsiTheme="majorHAnsi" w:cstheme="majorBidi"/>
          <w:bCs/>
          <w:szCs w:val="32"/>
        </w:rPr>
        <w:t>zwei Schritten austauschbares Filterelement</w:t>
      </w:r>
      <w:r w:rsidR="00FE44CA">
        <w:rPr>
          <w:rFonts w:asciiTheme="majorHAnsi" w:eastAsiaTheme="majorEastAsia" w:hAnsiTheme="majorHAnsi" w:cstheme="majorBidi"/>
          <w:bCs/>
          <w:szCs w:val="32"/>
        </w:rPr>
        <w:t xml:space="preserve"> das gesamte System vor Fremdpartikeln</w:t>
      </w:r>
      <w:r w:rsidR="006D1F0E">
        <w:rPr>
          <w:rFonts w:asciiTheme="majorHAnsi" w:eastAsiaTheme="majorEastAsia" w:hAnsiTheme="majorHAnsi" w:cstheme="majorBidi"/>
          <w:bCs/>
          <w:szCs w:val="32"/>
        </w:rPr>
        <w:t>. D</w:t>
      </w:r>
      <w:r w:rsidR="00FE44CA">
        <w:rPr>
          <w:rFonts w:asciiTheme="majorHAnsi" w:eastAsiaTheme="majorEastAsia" w:hAnsiTheme="majorHAnsi" w:cstheme="majorBidi"/>
          <w:bCs/>
          <w:szCs w:val="32"/>
        </w:rPr>
        <w:t xml:space="preserve">ie Schutzart IP65 ermöglicht den Einsatz in staub- und strahlwassergefährdeten Umgebungen und </w:t>
      </w:r>
      <w:r w:rsidR="00284879">
        <w:rPr>
          <w:rFonts w:asciiTheme="majorHAnsi" w:eastAsiaTheme="majorEastAsia" w:hAnsiTheme="majorHAnsi" w:cstheme="majorBidi"/>
          <w:bCs/>
          <w:szCs w:val="32"/>
        </w:rPr>
        <w:t>ein optionaler Hochleistungsschalldämpfer verringert den Geräuschpegel</w:t>
      </w:r>
      <w:r w:rsidR="00645475">
        <w:rPr>
          <w:rFonts w:asciiTheme="majorHAnsi" w:eastAsiaTheme="majorEastAsia" w:hAnsiTheme="majorHAnsi" w:cstheme="majorBidi"/>
          <w:bCs/>
          <w:szCs w:val="32"/>
        </w:rPr>
        <w:t xml:space="preserve"> für</w:t>
      </w:r>
      <w:r w:rsidR="000E169E">
        <w:rPr>
          <w:rFonts w:asciiTheme="majorHAnsi" w:eastAsiaTheme="majorEastAsia" w:hAnsiTheme="majorHAnsi" w:cstheme="majorBidi"/>
          <w:bCs/>
          <w:szCs w:val="32"/>
        </w:rPr>
        <w:t xml:space="preserve"> verbesserten Arbeitsschutz. </w:t>
      </w:r>
    </w:p>
    <w:p w14:paraId="680EF107" w14:textId="003A368D" w:rsidR="00426140" w:rsidRPr="00003142" w:rsidRDefault="007672AE" w:rsidP="004B36C8">
      <w:pPr>
        <w:spacing w:line="360" w:lineRule="atLeast"/>
        <w:rPr>
          <w:rFonts w:asciiTheme="majorHAnsi" w:eastAsiaTheme="majorEastAsia" w:hAnsiTheme="majorHAnsi" w:cstheme="majorBidi"/>
          <w:bCs/>
          <w:szCs w:val="32"/>
        </w:rPr>
      </w:pPr>
      <w:r w:rsidRPr="007672AE">
        <w:rPr>
          <w:rFonts w:asciiTheme="majorHAnsi" w:eastAsiaTheme="majorEastAsia" w:hAnsiTheme="majorHAnsi" w:cstheme="majorBidi"/>
          <w:b/>
          <w:szCs w:val="32"/>
        </w:rPr>
        <w:t>Starker Partner für verschiedene Industriezweige</w:t>
      </w:r>
      <w:r w:rsidR="00645475" w:rsidRPr="007672AE">
        <w:rPr>
          <w:rFonts w:asciiTheme="majorHAnsi" w:eastAsiaTheme="majorEastAsia" w:hAnsiTheme="majorHAnsi" w:cstheme="majorBidi"/>
          <w:b/>
          <w:szCs w:val="32"/>
        </w:rPr>
        <w:t xml:space="preserve"> </w:t>
      </w:r>
      <w:r>
        <w:rPr>
          <w:rFonts w:asciiTheme="majorHAnsi" w:eastAsiaTheme="majorEastAsia" w:hAnsiTheme="majorHAnsi" w:cstheme="majorBidi"/>
          <w:b/>
          <w:szCs w:val="32"/>
        </w:rPr>
        <w:br/>
      </w:r>
      <w:r>
        <w:rPr>
          <w:rFonts w:asciiTheme="majorHAnsi" w:eastAsiaTheme="majorEastAsia" w:hAnsiTheme="majorHAnsi" w:cstheme="majorBidi"/>
          <w:bCs/>
          <w:szCs w:val="32"/>
        </w:rPr>
        <w:t xml:space="preserve">Mit einem maximalen Vakuum von -89 kPa und </w:t>
      </w:r>
      <w:r w:rsidR="00884237">
        <w:rPr>
          <w:rFonts w:asciiTheme="majorHAnsi" w:eastAsiaTheme="majorEastAsia" w:hAnsiTheme="majorHAnsi" w:cstheme="majorBidi"/>
          <w:bCs/>
          <w:szCs w:val="32"/>
        </w:rPr>
        <w:t>verfügbar mit verschiedenen Düsendurchmessern</w:t>
      </w:r>
      <w:r w:rsidR="001F7CBA">
        <w:rPr>
          <w:rFonts w:asciiTheme="majorHAnsi" w:eastAsiaTheme="majorEastAsia" w:hAnsiTheme="majorHAnsi" w:cstheme="majorBidi"/>
          <w:bCs/>
          <w:szCs w:val="32"/>
        </w:rPr>
        <w:t xml:space="preserve"> (0,7, 1,0, 1,2 und 1,5 mm)</w:t>
      </w:r>
      <w:r w:rsidR="00884237">
        <w:rPr>
          <w:rFonts w:asciiTheme="majorHAnsi" w:eastAsiaTheme="majorEastAsia" w:hAnsiTheme="majorHAnsi" w:cstheme="majorBidi"/>
          <w:bCs/>
          <w:szCs w:val="32"/>
        </w:rPr>
        <w:t xml:space="preserve"> sowie Saugvolumenstrom-Ausführungen ist die Serie ZKJ ideal geeignet für Prozesse in unterschiedlichen Branchen: vom Fahrzeug- und Werkzeugmaschinenbau über die Nahrungsmittel-, Getränke- und Verpackungsindustrie bis hin zum Bereich Medizin und Pharmazeutik. </w:t>
      </w:r>
      <w:r>
        <w:rPr>
          <w:rFonts w:asciiTheme="majorHAnsi" w:eastAsiaTheme="majorEastAsia" w:hAnsiTheme="majorHAnsi" w:cstheme="majorBidi"/>
          <w:bCs/>
          <w:szCs w:val="32"/>
        </w:rPr>
        <w:t xml:space="preserve"> </w:t>
      </w:r>
    </w:p>
    <w:p w14:paraId="0D88BEA5" w14:textId="45830CCC" w:rsidR="001F7CBA" w:rsidRPr="00297E33" w:rsidRDefault="001F7CBA" w:rsidP="001F7CBA">
      <w:pPr>
        <w:spacing w:line="360" w:lineRule="atLeast"/>
        <w:rPr>
          <w:rFonts w:asciiTheme="majorHAnsi" w:eastAsiaTheme="majorEastAsia" w:hAnsiTheme="majorHAnsi" w:cstheme="majorBidi"/>
          <w:bCs/>
          <w:szCs w:val="32"/>
        </w:rPr>
      </w:pPr>
      <w:r w:rsidRPr="00297E33">
        <w:rPr>
          <w:rFonts w:asciiTheme="majorHAnsi" w:eastAsiaTheme="majorEastAsia" w:hAnsiTheme="majorHAnsi" w:cstheme="majorBidi"/>
          <w:b/>
          <w:bCs/>
          <w:szCs w:val="32"/>
          <w:lang w:val="de"/>
        </w:rPr>
        <w:lastRenderedPageBreak/>
        <w:t>Im</w:t>
      </w:r>
      <w:r w:rsidRPr="00297E33">
        <w:rPr>
          <w:b/>
          <w:bCs/>
        </w:rPr>
        <w:t xml:space="preserve"> Detail – </w:t>
      </w:r>
      <w:r>
        <w:rPr>
          <w:b/>
          <w:bCs/>
        </w:rPr>
        <w:t xml:space="preserve">Feldbuskompatible Vakuumeinheit der Serie </w:t>
      </w:r>
      <w:r>
        <w:rPr>
          <w:rFonts w:asciiTheme="majorHAnsi" w:eastAsiaTheme="majorEastAsia" w:hAnsiTheme="majorHAnsi" w:cstheme="majorBidi"/>
          <w:b/>
          <w:szCs w:val="32"/>
        </w:rPr>
        <w:t>ZKJ</w:t>
      </w:r>
    </w:p>
    <w:tbl>
      <w:tblPr>
        <w:tblStyle w:val="Tabellenraster"/>
        <w:tblW w:w="8926" w:type="dxa"/>
        <w:tblLayout w:type="fixed"/>
        <w:tblLook w:val="04A0" w:firstRow="1" w:lastRow="0" w:firstColumn="1" w:lastColumn="0" w:noHBand="0" w:noVBand="1"/>
      </w:tblPr>
      <w:tblGrid>
        <w:gridCol w:w="1271"/>
        <w:gridCol w:w="2268"/>
        <w:gridCol w:w="1418"/>
        <w:gridCol w:w="1275"/>
        <w:gridCol w:w="1418"/>
        <w:gridCol w:w="1276"/>
      </w:tblGrid>
      <w:tr w:rsidR="004203BE" w:rsidRPr="00297E33" w14:paraId="4DCADC69" w14:textId="4412BCAB" w:rsidTr="004203BE">
        <w:trPr>
          <w:trHeight w:val="419"/>
        </w:trPr>
        <w:tc>
          <w:tcPr>
            <w:tcW w:w="3539" w:type="dxa"/>
            <w:gridSpan w:val="2"/>
            <w:shd w:val="clear" w:color="auto" w:fill="auto"/>
            <w:vAlign w:val="center"/>
          </w:tcPr>
          <w:p w14:paraId="52068A6B" w14:textId="77777777" w:rsidR="0030055F" w:rsidRPr="00297E33" w:rsidRDefault="0030055F" w:rsidP="00DB255E">
            <w:pPr>
              <w:pStyle w:val="Default"/>
              <w:rPr>
                <w:rFonts w:ascii="Arial" w:hAnsi="Arial" w:cs="Arial"/>
                <w:b/>
                <w:sz w:val="16"/>
                <w:szCs w:val="16"/>
              </w:rPr>
            </w:pPr>
            <w:r w:rsidRPr="00297E33">
              <w:rPr>
                <w:rFonts w:ascii="Arial" w:hAnsi="Arial" w:cs="Arial"/>
                <w:b/>
                <w:sz w:val="16"/>
                <w:szCs w:val="16"/>
              </w:rPr>
              <w:t>Modell</w:t>
            </w:r>
          </w:p>
        </w:tc>
        <w:tc>
          <w:tcPr>
            <w:tcW w:w="1418" w:type="dxa"/>
            <w:shd w:val="clear" w:color="auto" w:fill="auto"/>
            <w:vAlign w:val="center"/>
          </w:tcPr>
          <w:p w14:paraId="5FF919D7" w14:textId="2BB638BB" w:rsidR="0030055F" w:rsidRPr="00297E33" w:rsidRDefault="0030055F" w:rsidP="00DB255E">
            <w:pPr>
              <w:pStyle w:val="Default"/>
              <w:jc w:val="center"/>
              <w:rPr>
                <w:rFonts w:ascii="Arial" w:hAnsi="Arial" w:cs="Arial"/>
                <w:b/>
                <w:color w:val="auto"/>
                <w:sz w:val="16"/>
                <w:szCs w:val="16"/>
                <w:lang w:val="de-DE"/>
              </w:rPr>
            </w:pPr>
            <w:r>
              <w:rPr>
                <w:rFonts w:ascii="Arial" w:hAnsi="Arial" w:cs="Arial"/>
                <w:b/>
                <w:color w:val="auto"/>
                <w:sz w:val="16"/>
                <w:szCs w:val="16"/>
                <w:lang w:val="de-DE"/>
              </w:rPr>
              <w:t>ZKJ07</w:t>
            </w:r>
          </w:p>
        </w:tc>
        <w:tc>
          <w:tcPr>
            <w:tcW w:w="1275" w:type="dxa"/>
            <w:shd w:val="clear" w:color="auto" w:fill="auto"/>
            <w:vAlign w:val="center"/>
          </w:tcPr>
          <w:p w14:paraId="72612751" w14:textId="6B64DADB" w:rsidR="0030055F" w:rsidRPr="00297E33" w:rsidRDefault="0030055F" w:rsidP="00DB255E">
            <w:pPr>
              <w:pStyle w:val="Default"/>
              <w:jc w:val="center"/>
              <w:rPr>
                <w:rFonts w:ascii="Arial" w:hAnsi="Arial" w:cs="Arial"/>
                <w:b/>
                <w:color w:val="auto"/>
                <w:sz w:val="16"/>
                <w:szCs w:val="16"/>
                <w:lang w:val="de-DE"/>
              </w:rPr>
            </w:pPr>
            <w:r>
              <w:rPr>
                <w:rFonts w:ascii="Arial" w:hAnsi="Arial" w:cs="Arial"/>
                <w:b/>
                <w:color w:val="auto"/>
                <w:sz w:val="16"/>
                <w:szCs w:val="16"/>
                <w:lang w:val="de-DE"/>
              </w:rPr>
              <w:t>ZKJ10</w:t>
            </w:r>
          </w:p>
        </w:tc>
        <w:tc>
          <w:tcPr>
            <w:tcW w:w="1418" w:type="dxa"/>
            <w:shd w:val="clear" w:color="auto" w:fill="auto"/>
            <w:vAlign w:val="center"/>
          </w:tcPr>
          <w:p w14:paraId="142E42F1" w14:textId="742D0714" w:rsidR="0030055F" w:rsidRPr="00297E33" w:rsidRDefault="0030055F" w:rsidP="00DB255E">
            <w:pPr>
              <w:pStyle w:val="Default"/>
              <w:jc w:val="center"/>
              <w:rPr>
                <w:rFonts w:ascii="Arial" w:hAnsi="Arial" w:cs="Arial"/>
                <w:b/>
                <w:color w:val="auto"/>
                <w:sz w:val="16"/>
                <w:szCs w:val="16"/>
                <w:lang w:val="de-DE"/>
              </w:rPr>
            </w:pPr>
            <w:r>
              <w:rPr>
                <w:rFonts w:ascii="Arial" w:hAnsi="Arial" w:cs="Arial"/>
                <w:b/>
                <w:color w:val="auto"/>
                <w:sz w:val="16"/>
                <w:szCs w:val="16"/>
                <w:lang w:val="de-DE"/>
              </w:rPr>
              <w:t>ZKJ12</w:t>
            </w:r>
          </w:p>
        </w:tc>
        <w:tc>
          <w:tcPr>
            <w:tcW w:w="1276" w:type="dxa"/>
            <w:vAlign w:val="center"/>
          </w:tcPr>
          <w:p w14:paraId="1DDCCAFC" w14:textId="152A8D7A" w:rsidR="0030055F" w:rsidRDefault="0030055F" w:rsidP="0030055F">
            <w:pPr>
              <w:pStyle w:val="Default"/>
              <w:jc w:val="center"/>
              <w:rPr>
                <w:rFonts w:ascii="Arial" w:hAnsi="Arial" w:cs="Arial"/>
                <w:b/>
                <w:color w:val="auto"/>
                <w:sz w:val="16"/>
                <w:szCs w:val="16"/>
                <w:lang w:val="de-DE"/>
              </w:rPr>
            </w:pPr>
            <w:r>
              <w:rPr>
                <w:rFonts w:ascii="Arial" w:hAnsi="Arial" w:cs="Arial"/>
                <w:b/>
                <w:color w:val="auto"/>
                <w:sz w:val="16"/>
                <w:szCs w:val="16"/>
                <w:lang w:val="de-DE"/>
              </w:rPr>
              <w:t>ZKJ15</w:t>
            </w:r>
          </w:p>
        </w:tc>
      </w:tr>
      <w:tr w:rsidR="0030055F" w:rsidRPr="00297E33" w14:paraId="1FE81AAC" w14:textId="3A63D760" w:rsidTr="004203BE">
        <w:trPr>
          <w:trHeight w:val="341"/>
        </w:trPr>
        <w:tc>
          <w:tcPr>
            <w:tcW w:w="3539" w:type="dxa"/>
            <w:gridSpan w:val="2"/>
            <w:vAlign w:val="center"/>
          </w:tcPr>
          <w:p w14:paraId="7A767F35" w14:textId="7E3A4E5C" w:rsidR="0030055F" w:rsidRDefault="0030055F" w:rsidP="00DB255E">
            <w:pPr>
              <w:spacing w:after="0" w:line="240" w:lineRule="auto"/>
              <w:rPr>
                <w:rFonts w:cs="Arial"/>
                <w:sz w:val="16"/>
                <w:szCs w:val="16"/>
              </w:rPr>
            </w:pPr>
            <w:r>
              <w:rPr>
                <w:rFonts w:cs="Arial"/>
                <w:sz w:val="16"/>
                <w:szCs w:val="16"/>
              </w:rPr>
              <w:t>Medium</w:t>
            </w:r>
          </w:p>
        </w:tc>
        <w:tc>
          <w:tcPr>
            <w:tcW w:w="5387" w:type="dxa"/>
            <w:gridSpan w:val="4"/>
            <w:vAlign w:val="center"/>
          </w:tcPr>
          <w:p w14:paraId="234A4FB3" w14:textId="5A2D3ABD" w:rsidR="0030055F" w:rsidRDefault="0030055F" w:rsidP="0030055F">
            <w:pPr>
              <w:spacing w:after="0" w:line="240" w:lineRule="auto"/>
              <w:jc w:val="center"/>
              <w:rPr>
                <w:rFonts w:cs="Arial"/>
                <w:sz w:val="16"/>
                <w:szCs w:val="16"/>
              </w:rPr>
            </w:pPr>
            <w:r>
              <w:rPr>
                <w:rFonts w:cs="Arial"/>
                <w:sz w:val="16"/>
                <w:szCs w:val="16"/>
              </w:rPr>
              <w:t>Druckluft</w:t>
            </w:r>
          </w:p>
        </w:tc>
      </w:tr>
      <w:tr w:rsidR="004203BE" w:rsidRPr="00297E33" w14:paraId="22488C0F" w14:textId="74E046FD" w:rsidTr="004203BE">
        <w:trPr>
          <w:trHeight w:val="341"/>
        </w:trPr>
        <w:tc>
          <w:tcPr>
            <w:tcW w:w="3539" w:type="dxa"/>
            <w:gridSpan w:val="2"/>
            <w:vAlign w:val="center"/>
          </w:tcPr>
          <w:p w14:paraId="2653FFF8" w14:textId="2E734F38" w:rsidR="0030055F" w:rsidRPr="00297E33" w:rsidRDefault="0030055F" w:rsidP="00DB255E">
            <w:pPr>
              <w:spacing w:after="0" w:line="240" w:lineRule="auto"/>
              <w:rPr>
                <w:rFonts w:cs="Arial"/>
                <w:sz w:val="16"/>
                <w:szCs w:val="16"/>
              </w:rPr>
            </w:pPr>
            <w:r>
              <w:rPr>
                <w:rFonts w:cs="Arial"/>
                <w:sz w:val="16"/>
                <w:szCs w:val="16"/>
              </w:rPr>
              <w:t>Düsengröße [mm]</w:t>
            </w:r>
          </w:p>
        </w:tc>
        <w:tc>
          <w:tcPr>
            <w:tcW w:w="1418" w:type="dxa"/>
            <w:vAlign w:val="center"/>
          </w:tcPr>
          <w:p w14:paraId="7F8F8B81" w14:textId="3D92A3A1" w:rsidR="0030055F" w:rsidRPr="00297E33" w:rsidRDefault="0030055F" w:rsidP="00DB255E">
            <w:pPr>
              <w:spacing w:after="0" w:line="240" w:lineRule="auto"/>
              <w:jc w:val="center"/>
              <w:rPr>
                <w:rFonts w:cs="Arial"/>
                <w:sz w:val="16"/>
                <w:szCs w:val="16"/>
              </w:rPr>
            </w:pPr>
            <w:r>
              <w:rPr>
                <w:rFonts w:cs="Arial"/>
                <w:sz w:val="16"/>
                <w:szCs w:val="16"/>
              </w:rPr>
              <w:t>0,7</w:t>
            </w:r>
          </w:p>
        </w:tc>
        <w:tc>
          <w:tcPr>
            <w:tcW w:w="1275" w:type="dxa"/>
            <w:vAlign w:val="center"/>
          </w:tcPr>
          <w:p w14:paraId="40E7DFD4" w14:textId="7F29DC14" w:rsidR="0030055F" w:rsidRPr="00297E33" w:rsidRDefault="0030055F" w:rsidP="00DB255E">
            <w:pPr>
              <w:spacing w:after="0" w:line="240" w:lineRule="auto"/>
              <w:jc w:val="center"/>
              <w:rPr>
                <w:rFonts w:cs="Arial"/>
                <w:sz w:val="16"/>
                <w:szCs w:val="16"/>
              </w:rPr>
            </w:pPr>
            <w:r>
              <w:rPr>
                <w:rFonts w:cs="Arial"/>
                <w:sz w:val="16"/>
                <w:szCs w:val="16"/>
              </w:rPr>
              <w:t>1,0</w:t>
            </w:r>
          </w:p>
        </w:tc>
        <w:tc>
          <w:tcPr>
            <w:tcW w:w="1418" w:type="dxa"/>
            <w:vAlign w:val="center"/>
          </w:tcPr>
          <w:p w14:paraId="1A82AD8C" w14:textId="71CA6A38" w:rsidR="0030055F" w:rsidRPr="00297E33" w:rsidRDefault="0030055F" w:rsidP="00DB255E">
            <w:pPr>
              <w:spacing w:after="0" w:line="240" w:lineRule="auto"/>
              <w:jc w:val="center"/>
              <w:rPr>
                <w:rFonts w:cs="Arial"/>
                <w:sz w:val="16"/>
                <w:szCs w:val="16"/>
              </w:rPr>
            </w:pPr>
            <w:r>
              <w:rPr>
                <w:rFonts w:cs="Arial"/>
                <w:sz w:val="16"/>
                <w:szCs w:val="16"/>
              </w:rPr>
              <w:t>1,2</w:t>
            </w:r>
          </w:p>
        </w:tc>
        <w:tc>
          <w:tcPr>
            <w:tcW w:w="1276" w:type="dxa"/>
            <w:vAlign w:val="center"/>
          </w:tcPr>
          <w:p w14:paraId="5B104441" w14:textId="474B331F" w:rsidR="0030055F" w:rsidRDefault="0030055F" w:rsidP="0030055F">
            <w:pPr>
              <w:spacing w:after="0" w:line="240" w:lineRule="auto"/>
              <w:jc w:val="center"/>
              <w:rPr>
                <w:rFonts w:cs="Arial"/>
                <w:sz w:val="16"/>
                <w:szCs w:val="16"/>
              </w:rPr>
            </w:pPr>
            <w:r>
              <w:rPr>
                <w:rFonts w:cs="Arial"/>
                <w:sz w:val="16"/>
                <w:szCs w:val="16"/>
              </w:rPr>
              <w:t>1,5</w:t>
            </w:r>
          </w:p>
        </w:tc>
      </w:tr>
      <w:tr w:rsidR="0030055F" w:rsidRPr="00297E33" w14:paraId="13536629" w14:textId="1A1764A1" w:rsidTr="004203BE">
        <w:trPr>
          <w:trHeight w:val="341"/>
        </w:trPr>
        <w:tc>
          <w:tcPr>
            <w:tcW w:w="3539" w:type="dxa"/>
            <w:gridSpan w:val="2"/>
            <w:vAlign w:val="center"/>
          </w:tcPr>
          <w:p w14:paraId="5431D7C4" w14:textId="4B4DFBBF" w:rsidR="0030055F" w:rsidRDefault="0030055F" w:rsidP="00DB255E">
            <w:pPr>
              <w:spacing w:after="0" w:line="240" w:lineRule="auto"/>
              <w:rPr>
                <w:rFonts w:cs="Arial"/>
                <w:sz w:val="16"/>
                <w:szCs w:val="16"/>
              </w:rPr>
            </w:pPr>
            <w:r>
              <w:rPr>
                <w:rFonts w:cs="Arial"/>
                <w:sz w:val="16"/>
                <w:szCs w:val="16"/>
              </w:rPr>
              <w:t>Standardbetriebsdruck [MPa]</w:t>
            </w:r>
          </w:p>
        </w:tc>
        <w:tc>
          <w:tcPr>
            <w:tcW w:w="5387" w:type="dxa"/>
            <w:gridSpan w:val="4"/>
            <w:vAlign w:val="center"/>
          </w:tcPr>
          <w:p w14:paraId="0E7C475D" w14:textId="1958B9DD" w:rsidR="0030055F" w:rsidRDefault="0030055F" w:rsidP="0030055F">
            <w:pPr>
              <w:spacing w:after="0" w:line="240" w:lineRule="auto"/>
              <w:jc w:val="center"/>
              <w:rPr>
                <w:rFonts w:cs="Arial"/>
                <w:sz w:val="16"/>
                <w:szCs w:val="16"/>
              </w:rPr>
            </w:pPr>
            <w:r>
              <w:rPr>
                <w:rFonts w:cs="Arial"/>
                <w:sz w:val="16"/>
                <w:szCs w:val="16"/>
              </w:rPr>
              <w:t>0,4</w:t>
            </w:r>
          </w:p>
        </w:tc>
      </w:tr>
      <w:tr w:rsidR="005D0114" w:rsidRPr="00297E33" w14:paraId="47E607CE" w14:textId="50CA6A37" w:rsidTr="004203BE">
        <w:trPr>
          <w:trHeight w:val="341"/>
        </w:trPr>
        <w:tc>
          <w:tcPr>
            <w:tcW w:w="3539" w:type="dxa"/>
            <w:gridSpan w:val="2"/>
            <w:vAlign w:val="center"/>
          </w:tcPr>
          <w:p w14:paraId="0182DEBB" w14:textId="577B13AB" w:rsidR="005D0114" w:rsidRPr="00401907" w:rsidRDefault="005D0114" w:rsidP="00DB255E">
            <w:pPr>
              <w:spacing w:after="0" w:line="240" w:lineRule="auto"/>
              <w:rPr>
                <w:rFonts w:cs="Arial"/>
                <w:sz w:val="16"/>
                <w:szCs w:val="16"/>
                <w:vertAlign w:val="superscript"/>
              </w:rPr>
            </w:pPr>
            <w:r>
              <w:rPr>
                <w:rFonts w:cs="Arial"/>
                <w:sz w:val="16"/>
                <w:szCs w:val="16"/>
              </w:rPr>
              <w:t>Max. Vakuum [kPa]*</w:t>
            </w:r>
            <w:r w:rsidR="00401907" w:rsidRPr="00401907">
              <w:rPr>
                <w:rFonts w:cs="Arial"/>
                <w:sz w:val="16"/>
                <w:szCs w:val="16"/>
                <w:vertAlign w:val="superscript"/>
              </w:rPr>
              <w:t>1</w:t>
            </w:r>
          </w:p>
        </w:tc>
        <w:tc>
          <w:tcPr>
            <w:tcW w:w="5387" w:type="dxa"/>
            <w:gridSpan w:val="4"/>
            <w:vAlign w:val="center"/>
          </w:tcPr>
          <w:p w14:paraId="00599900" w14:textId="57F6585D" w:rsidR="005D0114" w:rsidRDefault="005D0114" w:rsidP="0030055F">
            <w:pPr>
              <w:spacing w:after="0" w:line="240" w:lineRule="auto"/>
              <w:jc w:val="center"/>
              <w:rPr>
                <w:rFonts w:cs="Arial"/>
                <w:sz w:val="16"/>
                <w:szCs w:val="16"/>
              </w:rPr>
            </w:pPr>
            <w:r>
              <w:rPr>
                <w:rFonts w:cs="Arial"/>
                <w:sz w:val="16"/>
                <w:szCs w:val="16"/>
              </w:rPr>
              <w:t>-89</w:t>
            </w:r>
          </w:p>
        </w:tc>
      </w:tr>
      <w:tr w:rsidR="000C22CB" w:rsidRPr="00297E33" w14:paraId="1FBCD97A" w14:textId="084F4063" w:rsidTr="004203BE">
        <w:trPr>
          <w:trHeight w:val="517"/>
        </w:trPr>
        <w:tc>
          <w:tcPr>
            <w:tcW w:w="1271" w:type="dxa"/>
            <w:vMerge w:val="restart"/>
            <w:vAlign w:val="center"/>
          </w:tcPr>
          <w:p w14:paraId="6D86A80B" w14:textId="085BDC16" w:rsidR="000C22CB" w:rsidRDefault="000C22CB" w:rsidP="00DB255E">
            <w:pPr>
              <w:spacing w:after="0" w:line="240" w:lineRule="auto"/>
              <w:rPr>
                <w:rFonts w:cs="Arial"/>
                <w:sz w:val="16"/>
                <w:szCs w:val="16"/>
              </w:rPr>
            </w:pPr>
            <w:r>
              <w:rPr>
                <w:rFonts w:cs="Arial"/>
                <w:sz w:val="16"/>
                <w:szCs w:val="16"/>
              </w:rPr>
              <w:t>Max. Saug-</w:t>
            </w:r>
            <w:proofErr w:type="spellStart"/>
            <w:r>
              <w:rPr>
                <w:rFonts w:cs="Arial"/>
                <w:sz w:val="16"/>
                <w:szCs w:val="16"/>
              </w:rPr>
              <w:t>volumenstrom</w:t>
            </w:r>
            <w:proofErr w:type="spellEnd"/>
            <w:r>
              <w:rPr>
                <w:rFonts w:cs="Arial"/>
                <w:sz w:val="16"/>
                <w:szCs w:val="16"/>
              </w:rPr>
              <w:t xml:space="preserve"> [/l/min ANR]</w:t>
            </w:r>
          </w:p>
        </w:tc>
        <w:tc>
          <w:tcPr>
            <w:tcW w:w="2268" w:type="dxa"/>
            <w:vAlign w:val="center"/>
          </w:tcPr>
          <w:p w14:paraId="5EC644A6" w14:textId="1CCB9C80" w:rsidR="000C22CB" w:rsidRDefault="000C22CB" w:rsidP="00DB255E">
            <w:pPr>
              <w:spacing w:after="0" w:line="240" w:lineRule="auto"/>
              <w:rPr>
                <w:rFonts w:cs="Arial"/>
                <w:sz w:val="16"/>
                <w:szCs w:val="16"/>
              </w:rPr>
            </w:pPr>
            <w:r>
              <w:rPr>
                <w:rFonts w:cs="Arial"/>
                <w:sz w:val="16"/>
                <w:szCs w:val="16"/>
              </w:rPr>
              <w:t>Entlüftungsanschluss</w:t>
            </w:r>
          </w:p>
        </w:tc>
        <w:tc>
          <w:tcPr>
            <w:tcW w:w="1418" w:type="dxa"/>
            <w:vAlign w:val="center"/>
          </w:tcPr>
          <w:p w14:paraId="774473D6" w14:textId="56727CC0" w:rsidR="000C22CB" w:rsidRDefault="000C22CB" w:rsidP="00DB255E">
            <w:pPr>
              <w:spacing w:after="0" w:line="240" w:lineRule="auto"/>
              <w:jc w:val="center"/>
              <w:rPr>
                <w:rFonts w:cs="Arial"/>
                <w:sz w:val="16"/>
                <w:szCs w:val="16"/>
              </w:rPr>
            </w:pPr>
            <w:r>
              <w:rPr>
                <w:rFonts w:cs="Arial"/>
                <w:sz w:val="16"/>
                <w:szCs w:val="16"/>
              </w:rPr>
              <w:t>31</w:t>
            </w:r>
          </w:p>
        </w:tc>
        <w:tc>
          <w:tcPr>
            <w:tcW w:w="1275" w:type="dxa"/>
            <w:vAlign w:val="center"/>
          </w:tcPr>
          <w:p w14:paraId="181CC94A" w14:textId="1381AC8B" w:rsidR="000C22CB" w:rsidRDefault="000C22CB" w:rsidP="00DB255E">
            <w:pPr>
              <w:spacing w:after="0" w:line="240" w:lineRule="auto"/>
              <w:jc w:val="center"/>
              <w:rPr>
                <w:rFonts w:cs="Arial"/>
                <w:sz w:val="16"/>
                <w:szCs w:val="16"/>
              </w:rPr>
            </w:pPr>
            <w:r>
              <w:rPr>
                <w:rFonts w:cs="Arial"/>
                <w:sz w:val="16"/>
                <w:szCs w:val="16"/>
              </w:rPr>
              <w:t>53</w:t>
            </w:r>
          </w:p>
        </w:tc>
        <w:tc>
          <w:tcPr>
            <w:tcW w:w="1418" w:type="dxa"/>
            <w:vAlign w:val="center"/>
          </w:tcPr>
          <w:p w14:paraId="2362C8C4" w14:textId="2CCCB5E5" w:rsidR="000C22CB" w:rsidRDefault="00B832B9" w:rsidP="00DB255E">
            <w:pPr>
              <w:spacing w:after="0" w:line="240" w:lineRule="auto"/>
              <w:jc w:val="center"/>
              <w:rPr>
                <w:rFonts w:cs="Arial"/>
                <w:sz w:val="16"/>
                <w:szCs w:val="16"/>
              </w:rPr>
            </w:pPr>
            <w:r>
              <w:rPr>
                <w:rFonts w:cs="Arial"/>
                <w:sz w:val="16"/>
                <w:szCs w:val="16"/>
              </w:rPr>
              <w:t>63</w:t>
            </w:r>
          </w:p>
        </w:tc>
        <w:tc>
          <w:tcPr>
            <w:tcW w:w="1276" w:type="dxa"/>
            <w:vAlign w:val="center"/>
          </w:tcPr>
          <w:p w14:paraId="6365CFF5" w14:textId="54B1634B" w:rsidR="000C22CB" w:rsidRDefault="00B832B9" w:rsidP="0030055F">
            <w:pPr>
              <w:spacing w:after="0" w:line="240" w:lineRule="auto"/>
              <w:jc w:val="center"/>
              <w:rPr>
                <w:rFonts w:cs="Arial"/>
                <w:sz w:val="16"/>
                <w:szCs w:val="16"/>
              </w:rPr>
            </w:pPr>
            <w:r>
              <w:rPr>
                <w:rFonts w:cs="Arial"/>
                <w:sz w:val="16"/>
                <w:szCs w:val="16"/>
              </w:rPr>
              <w:t>74</w:t>
            </w:r>
          </w:p>
        </w:tc>
      </w:tr>
      <w:tr w:rsidR="000C22CB" w:rsidRPr="00297E33" w14:paraId="779145D4" w14:textId="77777777" w:rsidTr="004203BE">
        <w:trPr>
          <w:trHeight w:val="694"/>
        </w:trPr>
        <w:tc>
          <w:tcPr>
            <w:tcW w:w="1271" w:type="dxa"/>
            <w:vMerge/>
            <w:vAlign w:val="center"/>
          </w:tcPr>
          <w:p w14:paraId="4CEA478F" w14:textId="77777777" w:rsidR="000C22CB" w:rsidRDefault="000C22CB" w:rsidP="00DB255E">
            <w:pPr>
              <w:spacing w:after="0" w:line="240" w:lineRule="auto"/>
              <w:rPr>
                <w:rFonts w:cs="Arial"/>
                <w:sz w:val="16"/>
                <w:szCs w:val="16"/>
              </w:rPr>
            </w:pPr>
          </w:p>
        </w:tc>
        <w:tc>
          <w:tcPr>
            <w:tcW w:w="2268" w:type="dxa"/>
            <w:vAlign w:val="center"/>
          </w:tcPr>
          <w:p w14:paraId="52C82226" w14:textId="10FCA7C9" w:rsidR="000C22CB" w:rsidRDefault="000C22CB" w:rsidP="00DB255E">
            <w:pPr>
              <w:spacing w:after="0" w:line="240" w:lineRule="auto"/>
              <w:rPr>
                <w:rFonts w:cs="Arial"/>
                <w:sz w:val="16"/>
                <w:szCs w:val="16"/>
              </w:rPr>
            </w:pPr>
            <w:r>
              <w:rPr>
                <w:rFonts w:cs="Arial"/>
                <w:sz w:val="16"/>
                <w:szCs w:val="16"/>
              </w:rPr>
              <w:t>Entlüftung mit Hochleistungsschalldämpfer</w:t>
            </w:r>
          </w:p>
        </w:tc>
        <w:tc>
          <w:tcPr>
            <w:tcW w:w="1418" w:type="dxa"/>
            <w:vAlign w:val="center"/>
          </w:tcPr>
          <w:p w14:paraId="62D2E68B" w14:textId="59FF837F" w:rsidR="000C22CB" w:rsidRDefault="00B832B9" w:rsidP="00DB255E">
            <w:pPr>
              <w:spacing w:after="0" w:line="240" w:lineRule="auto"/>
              <w:jc w:val="center"/>
              <w:rPr>
                <w:rFonts w:cs="Arial"/>
                <w:sz w:val="16"/>
                <w:szCs w:val="16"/>
              </w:rPr>
            </w:pPr>
            <w:r>
              <w:rPr>
                <w:rFonts w:cs="Arial"/>
                <w:sz w:val="16"/>
                <w:szCs w:val="16"/>
              </w:rPr>
              <w:t>31</w:t>
            </w:r>
          </w:p>
        </w:tc>
        <w:tc>
          <w:tcPr>
            <w:tcW w:w="1275" w:type="dxa"/>
            <w:vAlign w:val="center"/>
          </w:tcPr>
          <w:p w14:paraId="4FE33B10" w14:textId="3EBADB60" w:rsidR="000C22CB" w:rsidRDefault="00B832B9" w:rsidP="00DB255E">
            <w:pPr>
              <w:spacing w:after="0" w:line="240" w:lineRule="auto"/>
              <w:jc w:val="center"/>
              <w:rPr>
                <w:rFonts w:cs="Arial"/>
                <w:sz w:val="16"/>
                <w:szCs w:val="16"/>
              </w:rPr>
            </w:pPr>
            <w:r>
              <w:rPr>
                <w:rFonts w:cs="Arial"/>
                <w:sz w:val="16"/>
                <w:szCs w:val="16"/>
              </w:rPr>
              <w:t>51</w:t>
            </w:r>
          </w:p>
        </w:tc>
        <w:tc>
          <w:tcPr>
            <w:tcW w:w="1418" w:type="dxa"/>
            <w:vAlign w:val="center"/>
          </w:tcPr>
          <w:p w14:paraId="5B5DA31C" w14:textId="1942D2AE" w:rsidR="000C22CB" w:rsidRDefault="00B832B9" w:rsidP="00DB255E">
            <w:pPr>
              <w:spacing w:after="0" w:line="240" w:lineRule="auto"/>
              <w:jc w:val="center"/>
              <w:rPr>
                <w:rFonts w:cs="Arial"/>
                <w:sz w:val="16"/>
                <w:szCs w:val="16"/>
              </w:rPr>
            </w:pPr>
            <w:r>
              <w:rPr>
                <w:rFonts w:cs="Arial"/>
                <w:sz w:val="16"/>
                <w:szCs w:val="16"/>
              </w:rPr>
              <w:t>60</w:t>
            </w:r>
          </w:p>
        </w:tc>
        <w:tc>
          <w:tcPr>
            <w:tcW w:w="1276" w:type="dxa"/>
            <w:vAlign w:val="center"/>
          </w:tcPr>
          <w:p w14:paraId="32476242" w14:textId="13C88E9A" w:rsidR="000C22CB" w:rsidRDefault="00B832B9" w:rsidP="0030055F">
            <w:pPr>
              <w:spacing w:after="0" w:line="240" w:lineRule="auto"/>
              <w:jc w:val="center"/>
              <w:rPr>
                <w:rFonts w:cs="Arial"/>
                <w:sz w:val="16"/>
                <w:szCs w:val="16"/>
              </w:rPr>
            </w:pPr>
            <w:r>
              <w:rPr>
                <w:rFonts w:cs="Arial"/>
                <w:sz w:val="16"/>
                <w:szCs w:val="16"/>
              </w:rPr>
              <w:t>68</w:t>
            </w:r>
          </w:p>
        </w:tc>
      </w:tr>
      <w:tr w:rsidR="00B832B9" w:rsidRPr="00297E33" w14:paraId="2A900258" w14:textId="77777777" w:rsidTr="004203BE">
        <w:trPr>
          <w:trHeight w:val="340"/>
        </w:trPr>
        <w:tc>
          <w:tcPr>
            <w:tcW w:w="3539" w:type="dxa"/>
            <w:gridSpan w:val="2"/>
            <w:vAlign w:val="center"/>
          </w:tcPr>
          <w:p w14:paraId="2FB21BFE" w14:textId="214C74EC" w:rsidR="00B832B9" w:rsidRDefault="00B832B9" w:rsidP="00DB255E">
            <w:pPr>
              <w:spacing w:after="0" w:line="240" w:lineRule="auto"/>
              <w:rPr>
                <w:rFonts w:cs="Arial"/>
                <w:sz w:val="16"/>
                <w:szCs w:val="16"/>
              </w:rPr>
            </w:pPr>
            <w:r>
              <w:rPr>
                <w:rFonts w:cs="Arial"/>
                <w:sz w:val="16"/>
                <w:szCs w:val="16"/>
              </w:rPr>
              <w:t xml:space="preserve">Luftverbrauch [/l/min </w:t>
            </w:r>
            <w:proofErr w:type="gramStart"/>
            <w:r>
              <w:rPr>
                <w:rFonts w:cs="Arial"/>
                <w:sz w:val="16"/>
                <w:szCs w:val="16"/>
              </w:rPr>
              <w:t>ANR]</w:t>
            </w:r>
            <w:r w:rsidR="00401907">
              <w:rPr>
                <w:rFonts w:cs="Arial"/>
                <w:sz w:val="16"/>
                <w:szCs w:val="16"/>
              </w:rPr>
              <w:t>*</w:t>
            </w:r>
            <w:proofErr w:type="gramEnd"/>
            <w:r w:rsidR="00401907" w:rsidRPr="00401907">
              <w:rPr>
                <w:rFonts w:cs="Arial"/>
                <w:sz w:val="16"/>
                <w:szCs w:val="16"/>
                <w:vertAlign w:val="superscript"/>
              </w:rPr>
              <w:t>1</w:t>
            </w:r>
          </w:p>
        </w:tc>
        <w:tc>
          <w:tcPr>
            <w:tcW w:w="1418" w:type="dxa"/>
            <w:vAlign w:val="center"/>
          </w:tcPr>
          <w:p w14:paraId="5EE8A21C" w14:textId="383A062D" w:rsidR="00B832B9" w:rsidRDefault="00B832B9" w:rsidP="00DB255E">
            <w:pPr>
              <w:spacing w:after="0" w:line="240" w:lineRule="auto"/>
              <w:jc w:val="center"/>
              <w:rPr>
                <w:rFonts w:cs="Arial"/>
                <w:sz w:val="16"/>
                <w:szCs w:val="16"/>
              </w:rPr>
            </w:pPr>
            <w:r>
              <w:rPr>
                <w:rFonts w:cs="Arial"/>
                <w:sz w:val="16"/>
                <w:szCs w:val="16"/>
              </w:rPr>
              <w:t>26</w:t>
            </w:r>
          </w:p>
        </w:tc>
        <w:tc>
          <w:tcPr>
            <w:tcW w:w="1275" w:type="dxa"/>
            <w:vAlign w:val="center"/>
          </w:tcPr>
          <w:p w14:paraId="1D9FFDEA" w14:textId="4C3859B8" w:rsidR="00B832B9" w:rsidRDefault="00B832B9" w:rsidP="00DB255E">
            <w:pPr>
              <w:spacing w:after="0" w:line="240" w:lineRule="auto"/>
              <w:jc w:val="center"/>
              <w:rPr>
                <w:rFonts w:cs="Arial"/>
                <w:sz w:val="16"/>
                <w:szCs w:val="16"/>
              </w:rPr>
            </w:pPr>
            <w:r>
              <w:rPr>
                <w:rFonts w:cs="Arial"/>
                <w:sz w:val="16"/>
                <w:szCs w:val="16"/>
              </w:rPr>
              <w:t>48</w:t>
            </w:r>
          </w:p>
        </w:tc>
        <w:tc>
          <w:tcPr>
            <w:tcW w:w="1418" w:type="dxa"/>
            <w:vAlign w:val="center"/>
          </w:tcPr>
          <w:p w14:paraId="1DDCC982" w14:textId="50333ADE" w:rsidR="00B832B9" w:rsidRDefault="00B832B9" w:rsidP="00DB255E">
            <w:pPr>
              <w:spacing w:after="0" w:line="240" w:lineRule="auto"/>
              <w:jc w:val="center"/>
              <w:rPr>
                <w:rFonts w:cs="Arial"/>
                <w:sz w:val="16"/>
                <w:szCs w:val="16"/>
              </w:rPr>
            </w:pPr>
            <w:r>
              <w:rPr>
                <w:rFonts w:cs="Arial"/>
                <w:sz w:val="16"/>
                <w:szCs w:val="16"/>
              </w:rPr>
              <w:t>68</w:t>
            </w:r>
          </w:p>
        </w:tc>
        <w:tc>
          <w:tcPr>
            <w:tcW w:w="1276" w:type="dxa"/>
            <w:vAlign w:val="center"/>
          </w:tcPr>
          <w:p w14:paraId="3A2B4F5A" w14:textId="1A7CB270" w:rsidR="00B832B9" w:rsidRDefault="00B832B9" w:rsidP="0030055F">
            <w:pPr>
              <w:spacing w:after="0" w:line="240" w:lineRule="auto"/>
              <w:jc w:val="center"/>
              <w:rPr>
                <w:rFonts w:cs="Arial"/>
                <w:sz w:val="16"/>
                <w:szCs w:val="16"/>
              </w:rPr>
            </w:pPr>
            <w:r>
              <w:rPr>
                <w:rFonts w:cs="Arial"/>
                <w:sz w:val="16"/>
                <w:szCs w:val="16"/>
              </w:rPr>
              <w:t>102</w:t>
            </w:r>
          </w:p>
        </w:tc>
      </w:tr>
      <w:tr w:rsidR="00B832B9" w:rsidRPr="00297E33" w14:paraId="60F23B65" w14:textId="77777777" w:rsidTr="004203BE">
        <w:trPr>
          <w:trHeight w:val="340"/>
        </w:trPr>
        <w:tc>
          <w:tcPr>
            <w:tcW w:w="3539" w:type="dxa"/>
            <w:gridSpan w:val="2"/>
            <w:vAlign w:val="center"/>
          </w:tcPr>
          <w:p w14:paraId="07C578F1" w14:textId="765F5BB3" w:rsidR="00B832B9" w:rsidRDefault="00B832B9" w:rsidP="00DB255E">
            <w:pPr>
              <w:spacing w:after="0" w:line="240" w:lineRule="auto"/>
              <w:rPr>
                <w:rFonts w:cs="Arial"/>
                <w:sz w:val="16"/>
                <w:szCs w:val="16"/>
              </w:rPr>
            </w:pPr>
            <w:r>
              <w:rPr>
                <w:rFonts w:cs="Arial"/>
                <w:sz w:val="16"/>
                <w:szCs w:val="16"/>
              </w:rPr>
              <w:t>Betriebsdruckbereich [MPa]</w:t>
            </w:r>
          </w:p>
        </w:tc>
        <w:tc>
          <w:tcPr>
            <w:tcW w:w="5387" w:type="dxa"/>
            <w:gridSpan w:val="4"/>
            <w:vAlign w:val="center"/>
          </w:tcPr>
          <w:p w14:paraId="57548800" w14:textId="40AFEC3E" w:rsidR="00B832B9" w:rsidRDefault="00B832B9" w:rsidP="0030055F">
            <w:pPr>
              <w:spacing w:after="0" w:line="240" w:lineRule="auto"/>
              <w:jc w:val="center"/>
              <w:rPr>
                <w:rFonts w:cs="Arial"/>
                <w:sz w:val="16"/>
                <w:szCs w:val="16"/>
              </w:rPr>
            </w:pPr>
            <w:r>
              <w:rPr>
                <w:rFonts w:cs="Arial"/>
                <w:sz w:val="16"/>
                <w:szCs w:val="16"/>
              </w:rPr>
              <w:t>0,3 bis 0,5</w:t>
            </w:r>
          </w:p>
        </w:tc>
      </w:tr>
      <w:tr w:rsidR="00B832B9" w:rsidRPr="00297E33" w14:paraId="335CD5A8" w14:textId="77777777" w:rsidTr="004203BE">
        <w:trPr>
          <w:trHeight w:val="573"/>
        </w:trPr>
        <w:tc>
          <w:tcPr>
            <w:tcW w:w="3539" w:type="dxa"/>
            <w:gridSpan w:val="2"/>
            <w:vAlign w:val="center"/>
          </w:tcPr>
          <w:p w14:paraId="15676717" w14:textId="6EDB0322" w:rsidR="00B832B9" w:rsidRDefault="001B0166" w:rsidP="00DB255E">
            <w:pPr>
              <w:spacing w:after="0" w:line="240" w:lineRule="auto"/>
              <w:rPr>
                <w:rFonts w:cs="Arial"/>
                <w:sz w:val="16"/>
                <w:szCs w:val="16"/>
              </w:rPr>
            </w:pPr>
            <w:r>
              <w:rPr>
                <w:rFonts w:cs="Arial"/>
                <w:sz w:val="16"/>
                <w:szCs w:val="16"/>
              </w:rPr>
              <w:t>Betätigungsart</w:t>
            </w:r>
          </w:p>
        </w:tc>
        <w:tc>
          <w:tcPr>
            <w:tcW w:w="5387" w:type="dxa"/>
            <w:gridSpan w:val="4"/>
            <w:vAlign w:val="center"/>
          </w:tcPr>
          <w:p w14:paraId="23891B09" w14:textId="77777777" w:rsidR="00B832B9" w:rsidRDefault="001B0166" w:rsidP="0030055F">
            <w:pPr>
              <w:spacing w:after="0" w:line="240" w:lineRule="auto"/>
              <w:jc w:val="center"/>
              <w:rPr>
                <w:rFonts w:cs="Arial"/>
                <w:sz w:val="16"/>
                <w:szCs w:val="16"/>
              </w:rPr>
            </w:pPr>
            <w:r>
              <w:rPr>
                <w:rFonts w:cs="Arial"/>
                <w:sz w:val="16"/>
                <w:szCs w:val="16"/>
              </w:rPr>
              <w:t>Versorgungsventil: N.C., Belüftungsventil; N.C. (ZKJ-JSY3A)</w:t>
            </w:r>
          </w:p>
          <w:p w14:paraId="28B498F6" w14:textId="1FF2AD8E" w:rsidR="001B0166" w:rsidRDefault="001B0166" w:rsidP="0030055F">
            <w:pPr>
              <w:spacing w:after="0" w:line="240" w:lineRule="auto"/>
              <w:jc w:val="center"/>
              <w:rPr>
                <w:rFonts w:cs="Arial"/>
                <w:sz w:val="16"/>
                <w:szCs w:val="16"/>
              </w:rPr>
            </w:pPr>
            <w:r>
              <w:rPr>
                <w:rFonts w:cs="Arial"/>
                <w:sz w:val="16"/>
                <w:szCs w:val="16"/>
              </w:rPr>
              <w:t>Versorgungsventil: N.O., Belüftungsventil: N.C. (ZKJ.JSY3E)</w:t>
            </w:r>
          </w:p>
        </w:tc>
      </w:tr>
    </w:tbl>
    <w:p w14:paraId="221A8CF9" w14:textId="788E6A3A" w:rsidR="00296566" w:rsidRPr="00401907" w:rsidRDefault="00401907" w:rsidP="00401907">
      <w:pPr>
        <w:spacing w:line="240" w:lineRule="auto"/>
        <w:rPr>
          <w:rFonts w:asciiTheme="majorHAnsi" w:eastAsiaTheme="majorEastAsia" w:hAnsiTheme="majorHAnsi" w:cstheme="majorBidi"/>
          <w:bCs/>
          <w:sz w:val="16"/>
          <w:szCs w:val="16"/>
        </w:rPr>
      </w:pPr>
      <w:r>
        <w:rPr>
          <w:rFonts w:asciiTheme="majorHAnsi" w:eastAsiaTheme="majorEastAsia" w:hAnsiTheme="majorHAnsi" w:cstheme="majorBidi"/>
          <w:bCs/>
          <w:sz w:val="16"/>
          <w:szCs w:val="16"/>
        </w:rPr>
        <w:br/>
      </w:r>
      <w:r w:rsidR="005D0114" w:rsidRPr="005D0114">
        <w:rPr>
          <w:rFonts w:asciiTheme="majorHAnsi" w:eastAsiaTheme="majorEastAsia" w:hAnsiTheme="majorHAnsi" w:cstheme="majorBidi"/>
          <w:bCs/>
          <w:sz w:val="16"/>
          <w:szCs w:val="16"/>
        </w:rPr>
        <w:t>*</w:t>
      </w:r>
      <w:r w:rsidRPr="00401907">
        <w:rPr>
          <w:rFonts w:asciiTheme="majorHAnsi" w:eastAsiaTheme="majorEastAsia" w:hAnsiTheme="majorHAnsi" w:cstheme="majorBidi"/>
          <w:bCs/>
          <w:sz w:val="16"/>
          <w:szCs w:val="16"/>
          <w:vertAlign w:val="superscript"/>
        </w:rPr>
        <w:t>1</w:t>
      </w:r>
      <w:r>
        <w:rPr>
          <w:rFonts w:asciiTheme="majorHAnsi" w:eastAsiaTheme="majorEastAsia" w:hAnsiTheme="majorHAnsi" w:cstheme="majorBidi"/>
          <w:bCs/>
          <w:sz w:val="16"/>
          <w:szCs w:val="16"/>
          <w:vertAlign w:val="superscript"/>
        </w:rPr>
        <w:t xml:space="preserve"> </w:t>
      </w:r>
      <w:r w:rsidR="005D0114" w:rsidRPr="005D0114">
        <w:rPr>
          <w:rFonts w:asciiTheme="majorHAnsi" w:eastAsiaTheme="majorEastAsia" w:hAnsiTheme="majorHAnsi" w:cstheme="majorBidi"/>
          <w:bCs/>
          <w:sz w:val="16"/>
          <w:szCs w:val="16"/>
        </w:rPr>
        <w:t>Die Werte gelten für den Standardversorgungsdruck und basieren auf den Messstandards von SMC. Diese sind abhängig von dem atmosphärischen Druck (Wetter, Höhe, usw.) und dem Messverfahren.</w:t>
      </w:r>
      <w:r>
        <w:rPr>
          <w:rFonts w:asciiTheme="majorHAnsi" w:eastAsiaTheme="majorEastAsia" w:hAnsiTheme="majorHAnsi" w:cstheme="majorBidi"/>
          <w:bCs/>
          <w:sz w:val="16"/>
          <w:szCs w:val="16"/>
        </w:rPr>
        <w:br/>
      </w:r>
      <w:r>
        <w:rPr>
          <w:rFonts w:asciiTheme="majorHAnsi" w:eastAsiaTheme="majorEastAsia" w:hAnsiTheme="majorHAnsi" w:cstheme="majorBidi"/>
          <w:bCs/>
          <w:sz w:val="16"/>
          <w:szCs w:val="16"/>
        </w:rPr>
        <w:br/>
      </w:r>
    </w:p>
    <w:p w14:paraId="4FA4E91B" w14:textId="2888ADBD" w:rsidR="00401907" w:rsidRPr="005D0114" w:rsidRDefault="00053DA1" w:rsidP="004B36C8">
      <w:pPr>
        <w:spacing w:line="360" w:lineRule="atLeast"/>
        <w:rPr>
          <w:rFonts w:asciiTheme="majorHAnsi" w:eastAsiaTheme="majorEastAsia" w:hAnsiTheme="majorHAnsi" w:cstheme="majorBidi"/>
          <w:bCs/>
          <w:sz w:val="16"/>
          <w:szCs w:val="16"/>
        </w:rPr>
      </w:pPr>
      <w:r w:rsidRPr="00053DA1">
        <w:rPr>
          <w:rFonts w:asciiTheme="majorHAnsi" w:eastAsiaTheme="majorEastAsia" w:hAnsiTheme="majorHAnsi" w:cstheme="majorBidi"/>
          <w:bCs/>
          <w:noProof/>
          <w:sz w:val="16"/>
          <w:szCs w:val="16"/>
        </w:rPr>
        <w:drawing>
          <wp:inline distT="0" distB="0" distL="0" distR="0" wp14:anchorId="394F33C6" wp14:editId="70D5500E">
            <wp:extent cx="4684144" cy="3346038"/>
            <wp:effectExtent l="0" t="0" r="0" b="0"/>
            <wp:docPr id="1" name="Grafik 1" descr="Ein Bild, das Nähmaschine,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Nähmaschine, Haushaltsgerät enthält.&#10;&#10;Automatisch generierte Beschreibung"/>
                    <pic:cNvPicPr/>
                  </pic:nvPicPr>
                  <pic:blipFill>
                    <a:blip r:embed="rId8"/>
                    <a:stretch>
                      <a:fillRect/>
                    </a:stretch>
                  </pic:blipFill>
                  <pic:spPr>
                    <a:xfrm>
                      <a:off x="0" y="0"/>
                      <a:ext cx="4704473" cy="3360559"/>
                    </a:xfrm>
                    <a:prstGeom prst="rect">
                      <a:avLst/>
                    </a:prstGeom>
                  </pic:spPr>
                </pic:pic>
              </a:graphicData>
            </a:graphic>
          </wp:inline>
        </w:drawing>
      </w:r>
    </w:p>
    <w:p w14:paraId="59122554" w14:textId="6FD87E07" w:rsidR="00724F24" w:rsidRPr="001674DD" w:rsidRDefault="00821E4E" w:rsidP="009F6A1E">
      <w:pPr>
        <w:spacing w:line="360" w:lineRule="atLeast"/>
        <w:rPr>
          <w:bCs/>
        </w:rPr>
      </w:pPr>
      <w:r>
        <w:rPr>
          <w:b/>
        </w:rPr>
        <w:t>Abbildung</w:t>
      </w:r>
      <w:r w:rsidR="00446713" w:rsidRPr="002B1728">
        <w:rPr>
          <w:b/>
        </w:rPr>
        <w:t>:</w:t>
      </w:r>
      <w:r>
        <w:rPr>
          <w:bCs/>
        </w:rPr>
        <w:t xml:space="preserve"> </w:t>
      </w:r>
      <w:r w:rsidR="00053DA1">
        <w:rPr>
          <w:bCs/>
        </w:rPr>
        <w:t xml:space="preserve">Die </w:t>
      </w:r>
      <w:r w:rsidR="00B71B71">
        <w:rPr>
          <w:bCs/>
        </w:rPr>
        <w:t>f</w:t>
      </w:r>
      <w:r w:rsidR="00053DA1">
        <w:rPr>
          <w:bCs/>
        </w:rPr>
        <w:t xml:space="preserve">eldbuskompatible Vakuumeinheit der Serie ZKJ überzeugt </w:t>
      </w:r>
      <w:r w:rsidR="004203BE">
        <w:rPr>
          <w:bCs/>
        </w:rPr>
        <w:t xml:space="preserve">u.a. </w:t>
      </w:r>
      <w:r w:rsidR="00053DA1">
        <w:rPr>
          <w:bCs/>
        </w:rPr>
        <w:t xml:space="preserve">mit umfassenden </w:t>
      </w:r>
      <w:r w:rsidR="00053DA1">
        <w:rPr>
          <w:bCs/>
        </w:rPr>
        <w:br/>
        <w:t xml:space="preserve">(Fern-)Steuerungs- und Überwachungsfähigkeiten, </w:t>
      </w:r>
      <w:r w:rsidR="004203BE">
        <w:rPr>
          <w:bCs/>
        </w:rPr>
        <w:t>reduziertem Luftverbrauch um bis zu 90 % dank Energiesparfunktion und vielfältigen Sicherheitsfunktionen.</w:t>
      </w:r>
    </w:p>
    <w:p w14:paraId="3476A343" w14:textId="46620D04" w:rsidR="008B3F88" w:rsidRDefault="00446713" w:rsidP="008A5738">
      <w:pPr>
        <w:spacing w:after="120" w:line="360" w:lineRule="auto"/>
      </w:pPr>
      <w:r w:rsidRPr="002B1728">
        <w:lastRenderedPageBreak/>
        <w:t>Foto: SMC Deutschland GmbH</w:t>
      </w:r>
    </w:p>
    <w:p w14:paraId="4A42ACA8" w14:textId="37285297" w:rsidR="008B3F88" w:rsidRDefault="008B3F88" w:rsidP="00446713">
      <w:pPr>
        <w:spacing w:after="0" w:line="240" w:lineRule="auto"/>
      </w:pPr>
    </w:p>
    <w:p w14:paraId="6F9D2726" w14:textId="77777777" w:rsidR="00821E4E" w:rsidRDefault="00821E4E" w:rsidP="00446713">
      <w:pPr>
        <w:spacing w:after="0" w:line="240" w:lineRule="auto"/>
      </w:pPr>
    </w:p>
    <w:p w14:paraId="1FD1B81C" w14:textId="50A1F0BB" w:rsidR="00971EAB" w:rsidRDefault="00446713" w:rsidP="00446713">
      <w:pPr>
        <w:spacing w:after="0" w:line="240" w:lineRule="auto"/>
      </w:pPr>
      <w:r w:rsidRPr="00D26DA2">
        <w:t xml:space="preserve">Weitere Informationen finden Sie auf der SMC-Webseite unter </w:t>
      </w:r>
      <w:hyperlink r:id="rId9" w:history="1">
        <w:r w:rsidR="006D7F90">
          <w:rPr>
            <w:rStyle w:val="Hyperlink"/>
            <w:b/>
            <w:bCs/>
            <w:color w:val="3960A6"/>
          </w:rPr>
          <w:t>www.smc.de</w:t>
        </w:r>
      </w:hyperlink>
      <w:r>
        <w:t xml:space="preserve"> </w:t>
      </w:r>
    </w:p>
    <w:p w14:paraId="278F3AD7" w14:textId="77777777" w:rsidR="005D5501" w:rsidRDefault="005D5501" w:rsidP="00446713">
      <w:pPr>
        <w:spacing w:after="0" w:line="240" w:lineRule="auto"/>
      </w:pPr>
    </w:p>
    <w:p w14:paraId="7EAD6C0D" w14:textId="77777777" w:rsidR="00836318" w:rsidRPr="0062542D" w:rsidRDefault="00836318" w:rsidP="00836318">
      <w:pPr>
        <w:pStyle w:val="SMCUntertitel"/>
        <w:spacing w:after="120"/>
        <w:rPr>
          <w:b/>
        </w:rPr>
      </w:pPr>
      <w:r>
        <w:rPr>
          <w:b/>
        </w:rPr>
        <w:t>Über SMC Deutschland</w:t>
      </w:r>
    </w:p>
    <w:p w14:paraId="131B6C48" w14:textId="77777777" w:rsidR="006842F4" w:rsidRPr="00CE36E3" w:rsidRDefault="006842F4" w:rsidP="006842F4">
      <w:pPr>
        <w:pStyle w:val="SMCPressetext"/>
      </w:pPr>
      <w:r>
        <w:t xml:space="preserve">Führender Hersteller, Partner und Lösungsanbieter für </w:t>
      </w:r>
      <w:r w:rsidRPr="00CE36E3">
        <w:t>pneumatische und elektrische Automati</w:t>
      </w:r>
      <w:r w:rsidRPr="00CE36E3">
        <w:softHyphen/>
        <w:t>sierungstechnik – die SMC Deutschland GmbH bietet seit mehr als 40 Jahren ein umfassendes Produktspektrum vom Ventil bis zum Temperiergerät mit mittlerweile mehr als 12.000 Basismodellen und über 700.000 Varianten für unter</w:t>
      </w:r>
      <w:r w:rsidRPr="00CE36E3">
        <w:softHyphen/>
        <w:t>schiedlichste Industriebranchen. Die innovativen Automatisierungslösungen des Unternehmens mit Sitz in Egelsbach bei Frankfurt am Main finden sich unter anderem im Automobil- und Werkzeugmaschinenbau, in der Automationstechnik, der Elektronik und der Robotik sowie in</w:t>
      </w:r>
      <w:r>
        <w:t xml:space="preserve"> der</w:t>
      </w:r>
      <w:r w:rsidRPr="00CE36E3">
        <w:t xml:space="preserve"> Lebensmittel- und Verpackungs</w:t>
      </w:r>
      <w:r>
        <w:t>industrie wie auch in den</w:t>
      </w:r>
      <w:r w:rsidRPr="00CE36E3">
        <w:t xml:space="preserve"> </w:t>
      </w:r>
      <w:r>
        <w:t xml:space="preserve">Bereichen </w:t>
      </w:r>
      <w:r w:rsidRPr="00CE36E3">
        <w:t>Life</w:t>
      </w:r>
      <w:r>
        <w:t xml:space="preserve"> </w:t>
      </w:r>
      <w:r w:rsidRPr="00CE36E3">
        <w:t>Science</w:t>
      </w:r>
      <w:r>
        <w:t xml:space="preserve"> und Medizintechnik</w:t>
      </w:r>
      <w:r w:rsidRPr="00CE36E3">
        <w:t>. SMC erwirtschaftete im Geschäftsjahr 2021/22 einen Umsatz von 185 Millionen Euro und beschäftigt bundesweit 735 Mitarbeiterinnen und Mitarbeiter. Darüber hinaus steht allen Kunden ein flächendeckendes, kompetentes Service- und Vertriebsnetzwerk zur Seite. Zudem forciert SMC das Thema Nachhaltigkeit in einem breiten Kontext aus Umwelt- und Klimaschutz, Gesundheitsfürsorge und Mitarbeiterförderung sowie gesellschaftlichem Engagement: von Produkten und Services über innerbetriebliche Maßnahmen bis hin zu Projekten für die Gemeinde.</w:t>
      </w:r>
    </w:p>
    <w:p w14:paraId="73D26F55" w14:textId="6064E33C" w:rsidR="005052F6" w:rsidRDefault="006842F4" w:rsidP="004A2566">
      <w:pPr>
        <w:pStyle w:val="SMCPressetext"/>
      </w:pPr>
      <w:r w:rsidRPr="00CE36E3">
        <w:t>Die SMC Deutschland GmbH gehört zur 1959 in Japan gegründeten SMC Corporation, die in 83 Ländern weltweit mit 31 Produktionsstätten vertreten ist. Der Weltmarktführer für pneumatische Automatisierungstechnik mit einem Marktanteil von 38 Prozent erzielte im Geschäftsjahr 2021/22 einen Umsatz von rund 5,6 Milliarden Euro und beschäftigt global 21.620 Mitarbeiterinnen und Mitarbeiter.</w:t>
      </w:r>
    </w:p>
    <w:sectPr w:rsidR="005052F6" w:rsidSect="005E0A21">
      <w:headerReference w:type="default" r:id="rId10"/>
      <w:footerReference w:type="default" r:id="rId11"/>
      <w:headerReference w:type="first" r:id="rId12"/>
      <w:footerReference w:type="first" r:id="rId13"/>
      <w:pgSz w:w="11906" w:h="16838" w:code="9"/>
      <w:pgMar w:top="-2268" w:right="1418" w:bottom="-170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C2F4D" w14:textId="77777777" w:rsidR="00AB4491" w:rsidRDefault="00AB4491" w:rsidP="00890E0F">
      <w:pPr>
        <w:spacing w:after="0" w:line="240" w:lineRule="auto"/>
      </w:pPr>
      <w:r>
        <w:separator/>
      </w:r>
    </w:p>
  </w:endnote>
  <w:endnote w:type="continuationSeparator" w:id="0">
    <w:p w14:paraId="4A0979ED" w14:textId="77777777" w:rsidR="00AB4491" w:rsidRDefault="00AB4491" w:rsidP="00890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kko Rounded Pro Medium">
    <w:panose1 w:val="020B0604020202020204"/>
    <w:charset w:val="00"/>
    <w:family w:val="swiss"/>
    <w:notTrueType/>
    <w:pitch w:val="variable"/>
    <w:sig w:usb0="00000001" w:usb1="1000000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kko Pro Medium">
    <w:altName w:val="Frutiger Next Pro Medium"/>
    <w:panose1 w:val="020B0604020202020204"/>
    <w:charset w:val="00"/>
    <w:family w:val="swiss"/>
    <w:notTrueType/>
    <w:pitch w:val="variable"/>
    <w:sig w:usb0="00000007" w:usb1="00000020" w:usb2="00000000" w:usb3="00000000" w:csb0="00000093" w:csb1="00000000"/>
  </w:font>
  <w:font w:name="Segoe UI">
    <w:panose1 w:val="020B0502040204020203"/>
    <w:charset w:val="00"/>
    <w:family w:val="swiss"/>
    <w:pitch w:val="variable"/>
    <w:sig w:usb0="E4002EFF" w:usb1="C000E47F" w:usb2="00000009" w:usb3="00000000" w:csb0="000001FF" w:csb1="00000000"/>
  </w:font>
  <w:font w:name="Myriad Pro">
    <w:altName w:val="Arial Unicode MS"/>
    <w:panose1 w:val="020B0604020202020204"/>
    <w:charset w:val="00"/>
    <w:family w:val="swiss"/>
    <w:notTrueType/>
    <w:pitch w:val="variable"/>
    <w:sig w:usb0="00000001" w:usb1="5000204B" w:usb2="00000000" w:usb3="00000000" w:csb0="0000019F" w:csb1="00000000"/>
  </w:font>
  <w:font w:name="Courier">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7743" w14:textId="77777777" w:rsidR="00325699" w:rsidRPr="00CC2B85" w:rsidRDefault="00325699" w:rsidP="00BE6B50">
    <w:pPr>
      <w:pStyle w:val="SMCBriefSeitenzahl"/>
    </w:pPr>
    <w:r>
      <w:tab/>
    </w:r>
    <w:r w:rsidRPr="00CC2B85">
      <w:t xml:space="preserve">Seite </w:t>
    </w:r>
    <w:r w:rsidRPr="00CC2B85">
      <w:fldChar w:fldCharType="begin"/>
    </w:r>
    <w:r w:rsidRPr="00CC2B85">
      <w:instrText>PAGE  \* Arabic  \* MERGEFORMAT</w:instrText>
    </w:r>
    <w:r w:rsidRPr="00CC2B85">
      <w:fldChar w:fldCharType="separate"/>
    </w:r>
    <w:r>
      <w:t>2</w:t>
    </w:r>
    <w:r w:rsidRPr="00CC2B85">
      <w:fldChar w:fldCharType="end"/>
    </w:r>
    <w:r w:rsidRPr="00CC2B85">
      <w:t xml:space="preserve"> von </w:t>
    </w:r>
    <w:fldSimple w:instr="NUMPAGES  \* Arabic  \* MERGEFORMAT">
      <w: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MCTabelle-ohne-Rahmen"/>
      <w:tblW w:w="9923" w:type="dxa"/>
      <w:tblLayout w:type="fixed"/>
      <w:tblLook w:val="04A0" w:firstRow="1" w:lastRow="0" w:firstColumn="1" w:lastColumn="0" w:noHBand="0" w:noVBand="1"/>
    </w:tblPr>
    <w:tblGrid>
      <w:gridCol w:w="2268"/>
      <w:gridCol w:w="2977"/>
      <w:gridCol w:w="1843"/>
      <w:gridCol w:w="2835"/>
    </w:tblGrid>
    <w:tr w:rsidR="00325699" w14:paraId="11E5634D" w14:textId="77777777" w:rsidTr="005C7C62">
      <w:tc>
        <w:tcPr>
          <w:tcW w:w="2268" w:type="dxa"/>
          <w:tcBorders>
            <w:top w:val="single" w:sz="4" w:space="0" w:color="2A60AA" w:themeColor="accent1"/>
          </w:tcBorders>
        </w:tcPr>
        <w:p w14:paraId="65C37488" w14:textId="77777777" w:rsidR="00325699" w:rsidRPr="00CB624B" w:rsidRDefault="00325699" w:rsidP="00CB624B">
          <w:pPr>
            <w:pStyle w:val="SMCBriefFenster"/>
            <w:rPr>
              <w:rStyle w:val="Fett"/>
            </w:rPr>
          </w:pPr>
        </w:p>
      </w:tc>
      <w:tc>
        <w:tcPr>
          <w:tcW w:w="2977" w:type="dxa"/>
          <w:tcBorders>
            <w:top w:val="single" w:sz="4" w:space="0" w:color="2A60AA" w:themeColor="accent1"/>
          </w:tcBorders>
        </w:tcPr>
        <w:p w14:paraId="165A6671" w14:textId="77777777" w:rsidR="00325699" w:rsidRDefault="00325699" w:rsidP="00CB624B">
          <w:pPr>
            <w:pStyle w:val="SMCBriefFenster"/>
          </w:pPr>
        </w:p>
      </w:tc>
      <w:tc>
        <w:tcPr>
          <w:tcW w:w="1843" w:type="dxa"/>
          <w:tcBorders>
            <w:top w:val="single" w:sz="4" w:space="0" w:color="2A60AA" w:themeColor="accent1"/>
          </w:tcBorders>
        </w:tcPr>
        <w:p w14:paraId="2518B925" w14:textId="77777777" w:rsidR="00325699" w:rsidRDefault="00325699" w:rsidP="00CB624B">
          <w:pPr>
            <w:pStyle w:val="SMCBriefFenster"/>
          </w:pPr>
        </w:p>
      </w:tc>
      <w:tc>
        <w:tcPr>
          <w:tcW w:w="2835" w:type="dxa"/>
          <w:tcBorders>
            <w:top w:val="single" w:sz="4" w:space="0" w:color="2A60AA" w:themeColor="accent1"/>
          </w:tcBorders>
        </w:tcPr>
        <w:p w14:paraId="40838DD8" w14:textId="77777777" w:rsidR="00325699" w:rsidRDefault="00325699" w:rsidP="00CB624B">
          <w:pPr>
            <w:pStyle w:val="SMCBriefFenster"/>
          </w:pPr>
        </w:p>
      </w:tc>
    </w:tr>
    <w:tr w:rsidR="00325699" w14:paraId="22539476" w14:textId="77777777" w:rsidTr="005C7C62">
      <w:tc>
        <w:tcPr>
          <w:tcW w:w="2268" w:type="dxa"/>
        </w:tcPr>
        <w:p w14:paraId="281F2D8F" w14:textId="77777777" w:rsidR="00325699" w:rsidRPr="00CB624B" w:rsidRDefault="00325699" w:rsidP="00CB624B">
          <w:pPr>
            <w:pStyle w:val="SMCBriefFenster"/>
            <w:rPr>
              <w:rStyle w:val="Fett"/>
            </w:rPr>
          </w:pPr>
          <w:r w:rsidRPr="00CB624B">
            <w:rPr>
              <w:rStyle w:val="Fett"/>
            </w:rPr>
            <w:t>SMC Deutschland GmbH</w:t>
          </w:r>
        </w:p>
        <w:p w14:paraId="4F237D59" w14:textId="77777777" w:rsidR="00325699" w:rsidRDefault="00325699" w:rsidP="00CB624B">
          <w:pPr>
            <w:pStyle w:val="SMCBriefFenster"/>
          </w:pPr>
          <w:r>
            <w:t>Boschring 13-15</w:t>
          </w:r>
        </w:p>
        <w:p w14:paraId="1F8C943A" w14:textId="77777777" w:rsidR="00325699" w:rsidRDefault="00325699" w:rsidP="00CB624B">
          <w:pPr>
            <w:pStyle w:val="SMCBriefFenster"/>
          </w:pPr>
          <w:r>
            <w:t>63329 Egelsbach</w:t>
          </w:r>
        </w:p>
      </w:tc>
      <w:tc>
        <w:tcPr>
          <w:tcW w:w="2977" w:type="dxa"/>
        </w:tcPr>
        <w:p w14:paraId="6F1F4730" w14:textId="77777777" w:rsidR="00325699" w:rsidRPr="00534D83" w:rsidRDefault="00325699" w:rsidP="009733EE">
          <w:pPr>
            <w:pStyle w:val="SMCBriefFenster"/>
            <w:rPr>
              <w:lang w:val="fr-CH"/>
            </w:rPr>
          </w:pPr>
          <w:r w:rsidRPr="00534D83">
            <w:rPr>
              <w:lang w:val="fr-CH"/>
            </w:rPr>
            <w:t>Brigitte Martinez Méndez</w:t>
          </w:r>
        </w:p>
        <w:p w14:paraId="1DFAFFA4" w14:textId="77777777" w:rsidR="00325699" w:rsidRPr="00534D83" w:rsidRDefault="00325699" w:rsidP="009733EE">
          <w:pPr>
            <w:pStyle w:val="SMCBriefFenster"/>
            <w:rPr>
              <w:lang w:val="fr-CH"/>
            </w:rPr>
          </w:pPr>
          <w:r w:rsidRPr="00534D83">
            <w:rPr>
              <w:lang w:val="fr-CH"/>
            </w:rPr>
            <w:t>Tel. +49 (0) 6103 402-278</w:t>
          </w:r>
        </w:p>
        <w:p w14:paraId="412DEC27" w14:textId="77777777" w:rsidR="00325699" w:rsidRPr="00534D83" w:rsidRDefault="00325699" w:rsidP="009733EE">
          <w:pPr>
            <w:pStyle w:val="SMCBriefFenster"/>
            <w:rPr>
              <w:lang w:val="fr-CH"/>
            </w:rPr>
          </w:pPr>
          <w:r w:rsidRPr="00534D83">
            <w:rPr>
              <w:lang w:val="fr-CH"/>
            </w:rPr>
            <w:t>martinez-mendez.brigitte@smc.de</w:t>
          </w:r>
        </w:p>
      </w:tc>
      <w:tc>
        <w:tcPr>
          <w:tcW w:w="1843" w:type="dxa"/>
        </w:tcPr>
        <w:p w14:paraId="19C96924" w14:textId="77777777" w:rsidR="00325699" w:rsidRDefault="00325699" w:rsidP="00A27E21">
          <w:pPr>
            <w:pStyle w:val="SMCBriefFenster"/>
          </w:pPr>
          <w:r>
            <w:t>www.smc.de</w:t>
          </w:r>
        </w:p>
      </w:tc>
      <w:tc>
        <w:tcPr>
          <w:tcW w:w="2835" w:type="dxa"/>
        </w:tcPr>
        <w:p w14:paraId="5ED33CCE" w14:textId="77777777" w:rsidR="00325699" w:rsidRPr="009C2840" w:rsidRDefault="00325699" w:rsidP="00A07EC4">
          <w:pPr>
            <w:pStyle w:val="SMCBriefSeitenzahl"/>
            <w:spacing w:after="0"/>
            <w:jc w:val="right"/>
            <w:rPr>
              <w:sz w:val="14"/>
              <w:szCs w:val="14"/>
            </w:rPr>
          </w:pPr>
          <w:r w:rsidRPr="009C2840">
            <w:rPr>
              <w:sz w:val="14"/>
              <w:szCs w:val="14"/>
            </w:rPr>
            <w:t xml:space="preserve">Seite </w:t>
          </w:r>
          <w:r w:rsidRPr="009C2840">
            <w:rPr>
              <w:sz w:val="14"/>
              <w:szCs w:val="14"/>
            </w:rPr>
            <w:fldChar w:fldCharType="begin"/>
          </w:r>
          <w:r w:rsidRPr="009C2840">
            <w:rPr>
              <w:sz w:val="14"/>
              <w:szCs w:val="14"/>
            </w:rPr>
            <w:instrText>PAGE  \* Arabic  \* MERGEFORMAT</w:instrText>
          </w:r>
          <w:r w:rsidRPr="009C2840">
            <w:rPr>
              <w:sz w:val="14"/>
              <w:szCs w:val="14"/>
            </w:rPr>
            <w:fldChar w:fldCharType="separate"/>
          </w:r>
          <w:r>
            <w:rPr>
              <w:sz w:val="14"/>
              <w:szCs w:val="14"/>
            </w:rPr>
            <w:t>1</w:t>
          </w:r>
          <w:r w:rsidRPr="009C2840">
            <w:rPr>
              <w:sz w:val="14"/>
              <w:szCs w:val="14"/>
            </w:rPr>
            <w:fldChar w:fldCharType="end"/>
          </w:r>
          <w:r w:rsidRPr="009C2840">
            <w:rPr>
              <w:sz w:val="14"/>
              <w:szCs w:val="14"/>
            </w:rPr>
            <w:t xml:space="preserve"> von </w:t>
          </w:r>
          <w:r w:rsidRPr="009C2840">
            <w:rPr>
              <w:sz w:val="14"/>
              <w:szCs w:val="14"/>
            </w:rPr>
            <w:fldChar w:fldCharType="begin"/>
          </w:r>
          <w:r w:rsidRPr="009C2840">
            <w:rPr>
              <w:sz w:val="14"/>
              <w:szCs w:val="14"/>
            </w:rPr>
            <w:instrText>NUMPAGES  \* Arabic  \* MERGEFORMAT</w:instrText>
          </w:r>
          <w:r w:rsidRPr="009C2840">
            <w:rPr>
              <w:sz w:val="14"/>
              <w:szCs w:val="14"/>
            </w:rPr>
            <w:fldChar w:fldCharType="separate"/>
          </w:r>
          <w:r>
            <w:rPr>
              <w:sz w:val="14"/>
              <w:szCs w:val="14"/>
            </w:rPr>
            <w:t>3</w:t>
          </w:r>
          <w:r w:rsidRPr="009C2840">
            <w:rPr>
              <w:sz w:val="14"/>
              <w:szCs w:val="14"/>
            </w:rPr>
            <w:fldChar w:fldCharType="end"/>
          </w:r>
        </w:p>
        <w:p w14:paraId="68D0838D" w14:textId="77777777" w:rsidR="00325699" w:rsidRDefault="00325699" w:rsidP="00CB624B">
          <w:pPr>
            <w:pStyle w:val="SMCBriefFenster"/>
          </w:pPr>
        </w:p>
      </w:tc>
    </w:tr>
  </w:tbl>
  <w:p w14:paraId="7B733D58" w14:textId="77777777" w:rsidR="00325699" w:rsidRDefault="00325699" w:rsidP="00D73044">
    <w:pPr>
      <w:pStyle w:val="SMCUnsichtbar"/>
    </w:pPr>
  </w:p>
  <w:p w14:paraId="0F0547F1" w14:textId="77777777" w:rsidR="00325699" w:rsidRDefault="00325699" w:rsidP="00D73044">
    <w:pPr>
      <w:pStyle w:val="SMCUnsichtbar"/>
    </w:pPr>
  </w:p>
  <w:p w14:paraId="58A59C7A" w14:textId="77777777" w:rsidR="00325699" w:rsidRDefault="00325699" w:rsidP="00D73044">
    <w:pPr>
      <w:pStyle w:val="SMCUnsichtbar"/>
    </w:pPr>
  </w:p>
  <w:p w14:paraId="6470C970" w14:textId="77777777" w:rsidR="00325699" w:rsidRDefault="00325699" w:rsidP="00D73044">
    <w:pPr>
      <w:pStyle w:val="SMCUnsichtbar"/>
    </w:pPr>
  </w:p>
  <w:p w14:paraId="55ECB4B6" w14:textId="77777777" w:rsidR="00325699" w:rsidRDefault="00325699" w:rsidP="00D73044">
    <w:pPr>
      <w:pStyle w:val="SMCUnsichtbar"/>
    </w:pPr>
  </w:p>
  <w:p w14:paraId="74DDA0F3" w14:textId="77777777" w:rsidR="00325699" w:rsidRDefault="00325699" w:rsidP="00D73044">
    <w:pPr>
      <w:pStyle w:val="SMCUnsichtbar"/>
    </w:pPr>
  </w:p>
  <w:p w14:paraId="75748DA0" w14:textId="77777777" w:rsidR="00325699" w:rsidRDefault="00325699" w:rsidP="00D73044">
    <w:pPr>
      <w:pStyle w:val="SMCUnsichtbar"/>
    </w:pPr>
  </w:p>
  <w:p w14:paraId="136A1D00" w14:textId="77777777" w:rsidR="00325699" w:rsidRDefault="00325699" w:rsidP="00D73044">
    <w:pPr>
      <w:pStyle w:val="SMCUnsichtbar"/>
    </w:pPr>
  </w:p>
  <w:p w14:paraId="68E755CD" w14:textId="77777777" w:rsidR="00325699" w:rsidRDefault="00325699" w:rsidP="00D73044">
    <w:pPr>
      <w:pStyle w:val="SMCUnsichtbar"/>
    </w:pPr>
  </w:p>
  <w:p w14:paraId="0DD37A49" w14:textId="77777777" w:rsidR="00325699" w:rsidRDefault="00325699" w:rsidP="00D73044">
    <w:pPr>
      <w:pStyle w:val="SMCUnsichtbar"/>
    </w:pPr>
  </w:p>
  <w:p w14:paraId="0506E9B6" w14:textId="77777777" w:rsidR="00325699" w:rsidRDefault="00325699" w:rsidP="00D73044">
    <w:pPr>
      <w:pStyle w:val="SMCUnsichtbar"/>
    </w:pPr>
  </w:p>
  <w:p w14:paraId="75409E84" w14:textId="77777777" w:rsidR="00325699" w:rsidRDefault="00325699" w:rsidP="00D73044">
    <w:pPr>
      <w:pStyle w:val="SMCUnsichtbar"/>
    </w:pPr>
  </w:p>
  <w:p w14:paraId="4B0E1F05" w14:textId="77777777" w:rsidR="00325699" w:rsidRDefault="00325699" w:rsidP="00D73044">
    <w:pPr>
      <w:pStyle w:val="SMCUnsichtbar"/>
    </w:pPr>
  </w:p>
  <w:p w14:paraId="77C8E066" w14:textId="77777777" w:rsidR="00325699" w:rsidRDefault="00325699" w:rsidP="00D73044">
    <w:pPr>
      <w:pStyle w:val="SMCUnsichtbar"/>
    </w:pPr>
  </w:p>
  <w:p w14:paraId="7055A43C" w14:textId="77777777" w:rsidR="00325699" w:rsidRDefault="00325699" w:rsidP="00D73044">
    <w:pPr>
      <w:pStyle w:val="SMCUnsichtba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E2FE5" w14:textId="77777777" w:rsidR="00AB4491" w:rsidRDefault="00AB4491" w:rsidP="00890E0F">
      <w:pPr>
        <w:spacing w:after="0" w:line="240" w:lineRule="auto"/>
      </w:pPr>
      <w:r>
        <w:separator/>
      </w:r>
    </w:p>
  </w:footnote>
  <w:footnote w:type="continuationSeparator" w:id="0">
    <w:p w14:paraId="1422F65A" w14:textId="77777777" w:rsidR="00AB4491" w:rsidRDefault="00AB4491" w:rsidP="00890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54ED" w14:textId="77777777" w:rsidR="00325699" w:rsidRDefault="00325699" w:rsidP="00D9355D">
    <w:pPr>
      <w:pStyle w:val="SMCUnsichtbar"/>
    </w:pPr>
    <w:r>
      <w:rPr>
        <w:noProof/>
        <w:lang w:val="en-US" w:eastAsia="ja-JP"/>
      </w:rPr>
      <w:drawing>
        <wp:anchor distT="0" distB="0" distL="114300" distR="114300" simplePos="0" relativeHeight="251684864" behindDoc="0" locked="0" layoutInCell="1" allowOverlap="1" wp14:anchorId="3084FC2D" wp14:editId="78CB17E5">
          <wp:simplePos x="0" y="0"/>
          <wp:positionH relativeFrom="page">
            <wp:posOffset>180340</wp:posOffset>
          </wp:positionH>
          <wp:positionV relativeFrom="paragraph">
            <wp:posOffset>180340</wp:posOffset>
          </wp:positionV>
          <wp:extent cx="1594800" cy="464400"/>
          <wp:effectExtent l="0" t="0" r="5715" b="0"/>
          <wp:wrapNone/>
          <wp:docPr id="31"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09_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800" cy="46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MCTabelle-ohne-Rahmen"/>
      <w:tblW w:w="9923" w:type="dxa"/>
      <w:tblLook w:val="04A0" w:firstRow="1" w:lastRow="0" w:firstColumn="1" w:lastColumn="0" w:noHBand="0" w:noVBand="1"/>
    </w:tblPr>
    <w:tblGrid>
      <w:gridCol w:w="6804"/>
      <w:gridCol w:w="3119"/>
    </w:tblGrid>
    <w:tr w:rsidR="00325699" w14:paraId="2F7C49C0" w14:textId="77777777" w:rsidTr="00163A92">
      <w:trPr>
        <w:trHeight w:hRule="exact" w:val="2336"/>
      </w:trPr>
      <w:tc>
        <w:tcPr>
          <w:tcW w:w="6804" w:type="dxa"/>
        </w:tcPr>
        <w:p w14:paraId="765277D4" w14:textId="77777777" w:rsidR="00325699" w:rsidRDefault="00325699" w:rsidP="003D0B72">
          <w:r>
            <w:rPr>
              <w:noProof/>
              <w:lang w:val="en-US" w:eastAsia="ja-JP"/>
            </w:rPr>
            <w:drawing>
              <wp:anchor distT="0" distB="0" distL="114300" distR="114300" simplePos="0" relativeHeight="251682816" behindDoc="0" locked="0" layoutInCell="1" allowOverlap="1" wp14:anchorId="2260AC52" wp14:editId="71BF90A4">
                <wp:simplePos x="0" y="0"/>
                <wp:positionH relativeFrom="page">
                  <wp:posOffset>-720090</wp:posOffset>
                </wp:positionH>
                <wp:positionV relativeFrom="paragraph">
                  <wp:posOffset>180340</wp:posOffset>
                </wp:positionV>
                <wp:extent cx="7200000" cy="670830"/>
                <wp:effectExtent l="0" t="0" r="1270" b="0"/>
                <wp:wrapNone/>
                <wp:docPr id="192"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1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67083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54CBF4D4" w14:textId="77777777" w:rsidR="00325699" w:rsidRDefault="00325699" w:rsidP="003D0B72"/>
      </w:tc>
    </w:tr>
  </w:tbl>
  <w:p w14:paraId="4E261155" w14:textId="77777777" w:rsidR="00325699" w:rsidRDefault="00325699" w:rsidP="00D9355D">
    <w:pPr>
      <w:pStyle w:val="SMCUnsichtb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2157"/>
    <w:multiLevelType w:val="multilevel"/>
    <w:tmpl w:val="49AA8E44"/>
    <w:styleLink w:val="SMCListeEinzgeAufzhlungen"/>
    <w:lvl w:ilvl="0">
      <w:start w:val="1"/>
      <w:numFmt w:val="none"/>
      <w:pStyle w:val="SMCEinzugAufz1"/>
      <w:suff w:val="nothing"/>
      <w:lvlText w:val=""/>
      <w:lvlJc w:val="left"/>
      <w:pPr>
        <w:ind w:left="340" w:firstLine="0"/>
      </w:pPr>
      <w:rPr>
        <w:rFonts w:hint="default"/>
      </w:rPr>
    </w:lvl>
    <w:lvl w:ilvl="1">
      <w:start w:val="1"/>
      <w:numFmt w:val="none"/>
      <w:pStyle w:val="SMCEinzugAufz2"/>
      <w:suff w:val="nothing"/>
      <w:lvlText w:val=""/>
      <w:lvlJc w:val="left"/>
      <w:pPr>
        <w:ind w:left="680" w:firstLine="0"/>
      </w:pPr>
      <w:rPr>
        <w:rFonts w:hint="default"/>
      </w:rPr>
    </w:lvl>
    <w:lvl w:ilvl="2">
      <w:start w:val="1"/>
      <w:numFmt w:val="none"/>
      <w:pStyle w:val="SMCEinzugAufz3"/>
      <w:suff w:val="nothing"/>
      <w:lvlText w:val=""/>
      <w:lvlJc w:val="left"/>
      <w:pPr>
        <w:ind w:left="102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 w15:restartNumberingAfterBreak="0">
    <w:nsid w:val="066C1161"/>
    <w:multiLevelType w:val="hybridMultilevel"/>
    <w:tmpl w:val="999454B4"/>
    <w:lvl w:ilvl="0" w:tplc="FFFFFFFF">
      <w:start w:val="1"/>
      <w:numFmt w:val="bullet"/>
      <w:lvlText w:val=""/>
      <w:lvlJc w:val="left"/>
      <w:pPr>
        <w:tabs>
          <w:tab w:val="num" w:pos="720"/>
        </w:tabs>
        <w:ind w:left="72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82A34"/>
    <w:multiLevelType w:val="multilevel"/>
    <w:tmpl w:val="15BC42D0"/>
    <w:styleLink w:val="SMCListeKastengrau"/>
    <w:lvl w:ilvl="0">
      <w:start w:val="1"/>
      <w:numFmt w:val="bullet"/>
      <w:pStyle w:val="SMCKastengrauAufzhlung1"/>
      <w:lvlText w:val=""/>
      <w:lvlJc w:val="left"/>
      <w:pPr>
        <w:ind w:left="567" w:hanging="283"/>
      </w:pPr>
      <w:rPr>
        <w:rFonts w:ascii="Symbol" w:hAnsi="Symbol" w:hint="default"/>
        <w:color w:val="FFFFFF" w:themeColor="background1"/>
        <w:sz w:val="20"/>
      </w:rPr>
    </w:lvl>
    <w:lvl w:ilvl="1">
      <w:start w:val="1"/>
      <w:numFmt w:val="bullet"/>
      <w:pStyle w:val="SMCKastengrauStatement"/>
      <w:lvlText w:val="&gt;"/>
      <w:lvlJc w:val="left"/>
      <w:pPr>
        <w:ind w:left="567" w:hanging="283"/>
      </w:pPr>
      <w:rPr>
        <w:rFonts w:ascii="Arial" w:hAnsi="Arial" w:hint="default"/>
        <w:b/>
        <w:i w:val="0"/>
        <w:color w:val="FFFFFF" w:themeColor="background1"/>
        <w:sz w:val="22"/>
      </w:rPr>
    </w:lvl>
    <w:lvl w:ilvl="2">
      <w:start w:val="1"/>
      <w:numFmt w:val="none"/>
      <w:pStyle w:val="SMCKastengrauAufzhlung3"/>
      <w:lvlText w:val=""/>
      <w:lvlJc w:val="left"/>
      <w:pPr>
        <w:ind w:left="567" w:hanging="283"/>
      </w:pPr>
      <w:rPr>
        <w:rFonts w:hint="default"/>
        <w:sz w:val="20"/>
      </w:rPr>
    </w:lvl>
    <w:lvl w:ilvl="3">
      <w:start w:val="1"/>
      <w:numFmt w:val="none"/>
      <w:lvlText w:val=""/>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3" w15:restartNumberingAfterBreak="0">
    <w:nsid w:val="16C118FA"/>
    <w:multiLevelType w:val="hybridMultilevel"/>
    <w:tmpl w:val="918A06E6"/>
    <w:lvl w:ilvl="0" w:tplc="3F528A3C">
      <w:numFmt w:val="bullet"/>
      <w:lvlText w:val="-"/>
      <w:lvlJc w:val="left"/>
      <w:pPr>
        <w:ind w:left="720" w:hanging="360"/>
      </w:pPr>
      <w:rPr>
        <w:rFonts w:ascii="Arial" w:eastAsiaTheme="minorHAnsi"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4" w15:restartNumberingAfterBreak="0">
    <w:nsid w:val="194060B3"/>
    <w:multiLevelType w:val="multilevel"/>
    <w:tmpl w:val="404AE41E"/>
    <w:lvl w:ilvl="0">
      <w:start w:val="1"/>
      <w:numFmt w:val="none"/>
      <w:lvlText w:val="»"/>
      <w:lvlJc w:val="left"/>
      <w:pPr>
        <w:ind w:left="567" w:hanging="283"/>
      </w:pPr>
      <w:rPr>
        <w:rFonts w:hint="default"/>
        <w:color w:val="2A60AA" w:themeColor="accent1"/>
      </w:rPr>
    </w:lvl>
    <w:lvl w:ilvl="1">
      <w:start w:val="1"/>
      <w:numFmt w:val="bullet"/>
      <w:pStyle w:val="SMCKastengrauAufzhlung2"/>
      <w:lvlText w:val="›"/>
      <w:lvlJc w:val="left"/>
      <w:pPr>
        <w:ind w:left="567" w:hanging="283"/>
      </w:pPr>
      <w:rPr>
        <w:rFonts w:ascii="Akko Rounded Pro Medium" w:hAnsi="Akko Rounded Pro Medium" w:hint="default"/>
        <w:color w:val="2A60AA" w:themeColor="accent1"/>
      </w:rPr>
    </w:lvl>
    <w:lvl w:ilvl="2">
      <w:start w:val="1"/>
      <w:numFmt w:val="bullet"/>
      <w:lvlText w:val=""/>
      <w:lvlJc w:val="left"/>
      <w:pPr>
        <w:ind w:left="567" w:hanging="283"/>
      </w:pPr>
      <w:rPr>
        <w:rFonts w:ascii="Wingdings" w:hAnsi="Wingdings" w:hint="default"/>
        <w:color w:val="2A60AA" w:themeColor="accent1"/>
      </w:rPr>
    </w:lvl>
    <w:lvl w:ilvl="3">
      <w:start w:val="1"/>
      <w:numFmt w:val="bullet"/>
      <w:lvlText w:val="→"/>
      <w:lvlJc w:val="left"/>
      <w:pPr>
        <w:ind w:left="567" w:hanging="283"/>
      </w:pPr>
      <w:rPr>
        <w:rFonts w:ascii="Akko Rounded Pro Medium" w:hAnsi="Akko Rounded Pro Medium" w:hint="default"/>
        <w:color w:val="2A60AA" w:themeColor="accent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5" w15:restartNumberingAfterBreak="0">
    <w:nsid w:val="220E1AD3"/>
    <w:multiLevelType w:val="multilevel"/>
    <w:tmpl w:val="7B365990"/>
    <w:styleLink w:val="SMCListeStatement"/>
    <w:lvl w:ilvl="0">
      <w:start w:val="1"/>
      <w:numFmt w:val="bullet"/>
      <w:pStyle w:val="SMCStatementALTP"/>
      <w:lvlText w:val="&gt;"/>
      <w:lvlJc w:val="left"/>
      <w:pPr>
        <w:ind w:left="340" w:hanging="340"/>
      </w:pPr>
      <w:rPr>
        <w:rFonts w:ascii="Arial" w:hAnsi="Arial" w:hint="default"/>
        <w:b/>
        <w:i w:val="0"/>
        <w:color w:val="2A60AA" w:themeColor="accent1"/>
        <w:sz w:val="26"/>
      </w:rPr>
    </w:lvl>
    <w:lvl w:ilvl="1">
      <w:start w:val="1"/>
      <w:numFmt w:val="bullet"/>
      <w:lvlText w:val="→"/>
      <w:lvlJc w:val="left"/>
      <w:pPr>
        <w:ind w:left="340" w:hanging="340"/>
      </w:pPr>
      <w:rPr>
        <w:rFonts w:ascii="Akko Rounded Pro Medium" w:hAnsi="Akko Rounded Pro Medium" w:hint="default"/>
        <w:color w:val="2A60AA" w:themeColor="accent1"/>
        <w:sz w:val="26"/>
      </w:rPr>
    </w:lvl>
    <w:lvl w:ilvl="2">
      <w:start w:val="1"/>
      <w:numFmt w:val="bullet"/>
      <w:lvlRestart w:val="0"/>
      <w:lvlText w:val="→"/>
      <w:lvlJc w:val="left"/>
      <w:pPr>
        <w:ind w:left="340" w:hanging="340"/>
      </w:pPr>
      <w:rPr>
        <w:rFonts w:ascii="Akko Rounded Pro Medium" w:hAnsi="Akko Rounded Pro Medium" w:hint="default"/>
        <w:color w:val="2A60AA" w:themeColor="accent1"/>
        <w:sz w:val="26"/>
      </w:rPr>
    </w:lvl>
    <w:lvl w:ilvl="3">
      <w:start w:val="1"/>
      <w:numFmt w:val="bullet"/>
      <w:lvlText w:val="→"/>
      <w:lvlJc w:val="left"/>
      <w:pPr>
        <w:ind w:left="340" w:hanging="340"/>
      </w:pPr>
      <w:rPr>
        <w:rFonts w:ascii="Akko Rounded Pro Medium" w:hAnsi="Akko Rounded Pro Medium" w:hint="default"/>
        <w:color w:val="2A60AA" w:themeColor="accent1"/>
        <w:sz w:val="26"/>
      </w:rPr>
    </w:lvl>
    <w:lvl w:ilvl="4">
      <w:start w:val="1"/>
      <w:numFmt w:val="bullet"/>
      <w:lvlText w:val="→"/>
      <w:lvlJc w:val="left"/>
      <w:pPr>
        <w:ind w:left="340" w:hanging="340"/>
      </w:pPr>
      <w:rPr>
        <w:rFonts w:ascii="Akko Rounded Pro Medium" w:hAnsi="Akko Rounded Pro Medium" w:hint="default"/>
        <w:color w:val="2A60AA" w:themeColor="accent1"/>
        <w:sz w:val="26"/>
      </w:rPr>
    </w:lvl>
    <w:lvl w:ilvl="5">
      <w:start w:val="1"/>
      <w:numFmt w:val="bullet"/>
      <w:lvlText w:val="→"/>
      <w:lvlJc w:val="left"/>
      <w:pPr>
        <w:ind w:left="340" w:hanging="340"/>
      </w:pPr>
      <w:rPr>
        <w:rFonts w:ascii="Akko Rounded Pro Medium" w:hAnsi="Akko Rounded Pro Medium" w:hint="default"/>
        <w:color w:val="2A60AA" w:themeColor="accent1"/>
        <w:sz w:val="26"/>
      </w:rPr>
    </w:lvl>
    <w:lvl w:ilvl="6">
      <w:start w:val="1"/>
      <w:numFmt w:val="bullet"/>
      <w:lvlText w:val="→"/>
      <w:lvlJc w:val="left"/>
      <w:pPr>
        <w:ind w:left="340" w:hanging="340"/>
      </w:pPr>
      <w:rPr>
        <w:rFonts w:ascii="Akko Rounded Pro Medium" w:hAnsi="Akko Rounded Pro Medium" w:hint="default"/>
        <w:color w:val="2A60AA" w:themeColor="accent1"/>
        <w:sz w:val="26"/>
      </w:rPr>
    </w:lvl>
    <w:lvl w:ilvl="7">
      <w:start w:val="1"/>
      <w:numFmt w:val="bullet"/>
      <w:lvlText w:val="→"/>
      <w:lvlJc w:val="left"/>
      <w:pPr>
        <w:ind w:left="340" w:hanging="340"/>
      </w:pPr>
      <w:rPr>
        <w:rFonts w:ascii="Akko Rounded Pro Medium" w:hAnsi="Akko Rounded Pro Medium" w:hint="default"/>
        <w:color w:val="2A60AA" w:themeColor="accent1"/>
        <w:sz w:val="26"/>
      </w:rPr>
    </w:lvl>
    <w:lvl w:ilvl="8">
      <w:start w:val="1"/>
      <w:numFmt w:val="bullet"/>
      <w:lvlText w:val="→"/>
      <w:lvlJc w:val="left"/>
      <w:pPr>
        <w:ind w:left="340" w:hanging="340"/>
      </w:pPr>
      <w:rPr>
        <w:rFonts w:ascii="Akko Rounded Pro Medium" w:hAnsi="Akko Rounded Pro Medium" w:hint="default"/>
        <w:color w:val="2A60AA" w:themeColor="accent1"/>
        <w:sz w:val="26"/>
      </w:rPr>
    </w:lvl>
  </w:abstractNum>
  <w:abstractNum w:abstractNumId="6" w15:restartNumberingAfterBreak="0">
    <w:nsid w:val="2B685FA5"/>
    <w:multiLevelType w:val="multilevel"/>
    <w:tmpl w:val="04A803C4"/>
    <w:styleLink w:val="SMCListeNummerierungen"/>
    <w:lvl w:ilvl="0">
      <w:start w:val="1"/>
      <w:numFmt w:val="decimal"/>
      <w:pStyle w:val="SMCNummerierung1ALTE"/>
      <w:lvlText w:val="%1."/>
      <w:lvlJc w:val="left"/>
      <w:pPr>
        <w:ind w:left="340" w:hanging="340"/>
      </w:pPr>
      <w:rPr>
        <w:rFonts w:hint="default"/>
        <w:color w:val="2A60AA" w:themeColor="accent1"/>
      </w:rPr>
    </w:lvl>
    <w:lvl w:ilvl="1">
      <w:start w:val="1"/>
      <w:numFmt w:val="decimal"/>
      <w:pStyle w:val="SMCNummerierung2ALTZ"/>
      <w:lvlText w:val="%1.%2."/>
      <w:lvlJc w:val="left"/>
      <w:pPr>
        <w:ind w:left="851" w:hanging="511"/>
      </w:pPr>
      <w:rPr>
        <w:rFonts w:hint="default"/>
        <w:color w:val="2A60AA" w:themeColor="accent1"/>
      </w:rPr>
    </w:lvl>
    <w:lvl w:ilvl="2">
      <w:start w:val="1"/>
      <w:numFmt w:val="decimal"/>
      <w:pStyle w:val="SMCNummerierung3"/>
      <w:lvlText w:val="%1.%2.%3."/>
      <w:lvlJc w:val="left"/>
      <w:pPr>
        <w:ind w:left="1701" w:hanging="850"/>
      </w:pPr>
      <w:rPr>
        <w:rFonts w:hint="default"/>
        <w:color w:val="2A60AA" w:themeColor="accent1"/>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7" w15:restartNumberingAfterBreak="0">
    <w:nsid w:val="333D69BC"/>
    <w:multiLevelType w:val="multilevel"/>
    <w:tmpl w:val="F372F0DE"/>
    <w:styleLink w:val="SMCListeEinzgeNummerierungen"/>
    <w:lvl w:ilvl="0">
      <w:start w:val="1"/>
      <w:numFmt w:val="none"/>
      <w:pStyle w:val="SMCEinzugNum1"/>
      <w:lvlText w:val=""/>
      <w:lvlJc w:val="left"/>
      <w:pPr>
        <w:ind w:left="340" w:firstLine="0"/>
      </w:pPr>
      <w:rPr>
        <w:rFonts w:hint="default"/>
      </w:rPr>
    </w:lvl>
    <w:lvl w:ilvl="1">
      <w:start w:val="1"/>
      <w:numFmt w:val="none"/>
      <w:pStyle w:val="SMCEinzugNum2"/>
      <w:lvlText w:val=""/>
      <w:lvlJc w:val="left"/>
      <w:pPr>
        <w:ind w:left="851" w:firstLine="0"/>
      </w:pPr>
      <w:rPr>
        <w:rFonts w:hint="default"/>
      </w:rPr>
    </w:lvl>
    <w:lvl w:ilvl="2">
      <w:start w:val="1"/>
      <w:numFmt w:val="none"/>
      <w:pStyle w:val="SMCEinzugNum3"/>
      <w:lvlText w:val=""/>
      <w:lvlJc w:val="left"/>
      <w:pPr>
        <w:ind w:left="1701"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8" w15:restartNumberingAfterBreak="0">
    <w:nsid w:val="3AD52BA1"/>
    <w:multiLevelType w:val="multilevel"/>
    <w:tmpl w:val="528428B6"/>
    <w:styleLink w:val="SMCListeKasten"/>
    <w:lvl w:ilvl="0">
      <w:start w:val="1"/>
      <w:numFmt w:val="bullet"/>
      <w:pStyle w:val="SMCKastenblauAufzhlung1"/>
      <w:lvlText w:val=""/>
      <w:lvlJc w:val="left"/>
      <w:pPr>
        <w:ind w:left="567" w:hanging="283"/>
      </w:pPr>
      <w:rPr>
        <w:rFonts w:ascii="Symbol" w:hAnsi="Symbol" w:hint="default"/>
        <w:color w:val="FFFFFF" w:themeColor="background1"/>
        <w:sz w:val="20"/>
      </w:rPr>
    </w:lvl>
    <w:lvl w:ilvl="1">
      <w:start w:val="1"/>
      <w:numFmt w:val="bullet"/>
      <w:pStyle w:val="SMCKastenblauStatement"/>
      <w:lvlText w:val="&gt;"/>
      <w:lvlJc w:val="left"/>
      <w:pPr>
        <w:ind w:left="567" w:hanging="283"/>
      </w:pPr>
      <w:rPr>
        <w:rFonts w:ascii="Arial" w:hAnsi="Arial" w:hint="default"/>
        <w:b/>
        <w:i w:val="0"/>
        <w:color w:val="FFFFFF" w:themeColor="background1"/>
        <w:sz w:val="22"/>
      </w:rPr>
    </w:lvl>
    <w:lvl w:ilvl="2">
      <w:start w:val="1"/>
      <w:numFmt w:val="bullet"/>
      <w:pStyle w:val="SMCKastenblauAufzhlung3"/>
      <w:lvlText w:val=""/>
      <w:lvlJc w:val="left"/>
      <w:pPr>
        <w:ind w:left="567" w:hanging="283"/>
      </w:pPr>
      <w:rPr>
        <w:rFonts w:ascii="Wingdings" w:hAnsi="Wingdings" w:hint="default"/>
        <w:color w:val="FFFFFF" w:themeColor="background1"/>
        <w:sz w:val="20"/>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9" w15:restartNumberingAfterBreak="0">
    <w:nsid w:val="5237512F"/>
    <w:multiLevelType w:val="multilevel"/>
    <w:tmpl w:val="F54AA876"/>
    <w:styleLink w:val="SMCListeBullets"/>
    <w:lvl w:ilvl="0">
      <w:start w:val="1"/>
      <w:numFmt w:val="bullet"/>
      <w:pStyle w:val="SMCAufzhlung1ALTQ"/>
      <w:lvlText w:val=""/>
      <w:lvlJc w:val="left"/>
      <w:pPr>
        <w:ind w:left="340" w:hanging="340"/>
      </w:pPr>
      <w:rPr>
        <w:rFonts w:ascii="Symbol" w:hAnsi="Symbol" w:hint="default"/>
        <w:color w:val="2A60AA" w:themeColor="accent1"/>
        <w:sz w:val="20"/>
      </w:rPr>
    </w:lvl>
    <w:lvl w:ilvl="1">
      <w:start w:val="1"/>
      <w:numFmt w:val="bullet"/>
      <w:pStyle w:val="SMCAufzhlung2"/>
      <w:lvlText w:val=""/>
      <w:lvlJc w:val="left"/>
      <w:pPr>
        <w:ind w:left="680" w:hanging="340"/>
      </w:pPr>
      <w:rPr>
        <w:rFonts w:ascii="Symbol" w:hAnsi="Symbol" w:hint="default"/>
        <w:color w:val="2A60AA" w:themeColor="accent1"/>
        <w:sz w:val="20"/>
      </w:rPr>
    </w:lvl>
    <w:lvl w:ilvl="2">
      <w:start w:val="1"/>
      <w:numFmt w:val="bullet"/>
      <w:pStyle w:val="SMCAufzhlung3"/>
      <w:lvlText w:val=""/>
      <w:lvlJc w:val="left"/>
      <w:pPr>
        <w:ind w:left="1021" w:hanging="341"/>
      </w:pPr>
      <w:rPr>
        <w:rFonts w:ascii="Symbol" w:hAnsi="Symbol" w:hint="default"/>
        <w:color w:val="2A60AA" w:themeColor="accent1"/>
        <w:sz w:val="20"/>
      </w:rPr>
    </w:lvl>
    <w:lvl w:ilvl="3">
      <w:start w:val="1"/>
      <w:numFmt w:val="none"/>
      <w:lvlText w:val=""/>
      <w:lvlJc w:val="left"/>
      <w:pPr>
        <w:ind w:left="454" w:hanging="454"/>
      </w:pPr>
      <w:rPr>
        <w:rFonts w:hint="default"/>
      </w:rPr>
    </w:lvl>
    <w:lvl w:ilvl="4">
      <w:start w:val="1"/>
      <w:numFmt w:val="none"/>
      <w:lvlText w:val=""/>
      <w:lvlJc w:val="left"/>
      <w:pPr>
        <w:ind w:left="454" w:hanging="454"/>
      </w:pPr>
      <w:rPr>
        <w:rFonts w:hint="default"/>
      </w:rPr>
    </w:lvl>
    <w:lvl w:ilvl="5">
      <w:start w:val="1"/>
      <w:numFmt w:val="none"/>
      <w:lvlText w:val=""/>
      <w:lvlJc w:val="left"/>
      <w:pPr>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0" w15:restartNumberingAfterBreak="0">
    <w:nsid w:val="58B156E4"/>
    <w:multiLevelType w:val="multilevel"/>
    <w:tmpl w:val="43DCC4F6"/>
    <w:styleLink w:val="SMCListeberschriften"/>
    <w:lvl w:ilvl="0">
      <w:start w:val="1"/>
      <w:numFmt w:val="decimal"/>
      <w:pStyle w:val="berschrift1"/>
      <w:lvlText w:val="%1"/>
      <w:lvlJc w:val="left"/>
      <w:pPr>
        <w:ind w:left="680" w:hanging="680"/>
      </w:pPr>
      <w:rPr>
        <w:rFonts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suff w:val="space"/>
      <w:lvlText w:val="%1.%2.%3.%4"/>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1" w15:restartNumberingAfterBreak="0">
    <w:nsid w:val="5E937303"/>
    <w:multiLevelType w:val="hybridMultilevel"/>
    <w:tmpl w:val="05AC0D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D003E3"/>
    <w:multiLevelType w:val="hybridMultilevel"/>
    <w:tmpl w:val="7542E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13" w15:restartNumberingAfterBreak="0">
    <w:nsid w:val="62F173CB"/>
    <w:multiLevelType w:val="multilevel"/>
    <w:tmpl w:val="91DC17C2"/>
    <w:styleLink w:val="SMCListeAufzhlungen"/>
    <w:lvl w:ilvl="0">
      <w:start w:val="1"/>
      <w:numFmt w:val="none"/>
      <w:lvlText w:val="»"/>
      <w:lvlJc w:val="left"/>
      <w:pPr>
        <w:ind w:left="284" w:hanging="284"/>
      </w:pPr>
      <w:rPr>
        <w:rFonts w:hint="default"/>
        <w:color w:val="2A60AA" w:themeColor="accent1"/>
      </w:rPr>
    </w:lvl>
    <w:lvl w:ilvl="1">
      <w:start w:val="1"/>
      <w:numFmt w:val="bullet"/>
      <w:lvlText w:val="›"/>
      <w:lvlJc w:val="left"/>
      <w:pPr>
        <w:ind w:left="568" w:hanging="284"/>
      </w:pPr>
      <w:rPr>
        <w:rFonts w:hint="default"/>
        <w:color w:val="2A60AA" w:themeColor="accent1"/>
      </w:rPr>
    </w:lvl>
    <w:lvl w:ilvl="2">
      <w:start w:val="1"/>
      <w:numFmt w:val="bullet"/>
      <w:lvlText w:val=""/>
      <w:lvlJc w:val="left"/>
      <w:pPr>
        <w:ind w:left="852" w:hanging="284"/>
      </w:pPr>
      <w:rPr>
        <w:rFonts w:ascii="Wingdings" w:hAnsi="Wingdings" w:hint="default"/>
        <w:color w:val="2A60AA" w:themeColor="accent1"/>
      </w:rPr>
    </w:lvl>
    <w:lvl w:ilvl="3">
      <w:start w:val="1"/>
      <w:numFmt w:val="none"/>
      <w:lvlText w:val=""/>
      <w:lvlJc w:val="left"/>
      <w:pPr>
        <w:ind w:left="851" w:firstLine="0"/>
      </w:pPr>
      <w:rPr>
        <w:rFonts w:hint="default"/>
      </w:rPr>
    </w:lvl>
    <w:lvl w:ilvl="4">
      <w:start w:val="1"/>
      <w:numFmt w:val="none"/>
      <w:lvlText w:val=""/>
      <w:lvlJc w:val="left"/>
      <w:pPr>
        <w:ind w:left="851" w:firstLine="0"/>
      </w:pPr>
      <w:rPr>
        <w:rFonts w:hint="default"/>
      </w:rPr>
    </w:lvl>
    <w:lvl w:ilvl="5">
      <w:start w:val="1"/>
      <w:numFmt w:val="none"/>
      <w:lvlText w:val=""/>
      <w:lvlJc w:val="left"/>
      <w:pPr>
        <w:ind w:left="851" w:firstLine="0"/>
      </w:pPr>
      <w:rPr>
        <w:rFonts w:hint="default"/>
      </w:rPr>
    </w:lvl>
    <w:lvl w:ilvl="6">
      <w:start w:val="1"/>
      <w:numFmt w:val="none"/>
      <w:lvlText w:val=""/>
      <w:lvlJc w:val="left"/>
      <w:pPr>
        <w:ind w:left="851" w:firstLine="0"/>
      </w:pPr>
      <w:rPr>
        <w:rFonts w:hint="default"/>
      </w:rPr>
    </w:lvl>
    <w:lvl w:ilvl="7">
      <w:start w:val="1"/>
      <w:numFmt w:val="none"/>
      <w:lvlText w:val=""/>
      <w:lvlJc w:val="left"/>
      <w:pPr>
        <w:ind w:left="851" w:firstLine="0"/>
      </w:pPr>
      <w:rPr>
        <w:rFonts w:hint="default"/>
      </w:rPr>
    </w:lvl>
    <w:lvl w:ilvl="8">
      <w:start w:val="1"/>
      <w:numFmt w:val="none"/>
      <w:lvlText w:val=""/>
      <w:lvlJc w:val="left"/>
      <w:pPr>
        <w:ind w:left="851" w:firstLine="0"/>
      </w:pPr>
      <w:rPr>
        <w:rFonts w:hint="default"/>
      </w:rPr>
    </w:lvl>
  </w:abstractNum>
  <w:abstractNum w:abstractNumId="14" w15:restartNumberingAfterBreak="0">
    <w:nsid w:val="638A0120"/>
    <w:multiLevelType w:val="hybridMultilevel"/>
    <w:tmpl w:val="D34A5288"/>
    <w:lvl w:ilvl="0" w:tplc="FFFFFFFF">
      <w:start w:val="1"/>
      <w:numFmt w:val="bullet"/>
      <w:lvlText w:val=""/>
      <w:lvlJc w:val="left"/>
      <w:pPr>
        <w:tabs>
          <w:tab w:val="num" w:pos="1068"/>
        </w:tabs>
        <w:ind w:left="1068"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numFmt w:val="bullet"/>
      <w:lvlText w:val=""/>
      <w:lvlJc w:val="left"/>
      <w:pPr>
        <w:tabs>
          <w:tab w:val="num" w:pos="2880"/>
        </w:tabs>
        <w:ind w:left="2880" w:hanging="360"/>
      </w:pPr>
      <w:rPr>
        <w:rFonts w:ascii="Symbol" w:eastAsia="Times New Roman" w:hAnsi="Symbol" w:cs="Arial" w:hint="default"/>
        <w:b/>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73437"/>
    <w:multiLevelType w:val="hybridMultilevel"/>
    <w:tmpl w:val="9F888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08E4431"/>
    <w:multiLevelType w:val="hybridMultilevel"/>
    <w:tmpl w:val="72464222"/>
    <w:lvl w:ilvl="0" w:tplc="7F72DDCC">
      <w:start w:val="501"/>
      <w:numFmt w:val="bullet"/>
      <w:lvlText w:val="-"/>
      <w:lvlJc w:val="left"/>
      <w:pPr>
        <w:ind w:left="720" w:hanging="360"/>
      </w:pPr>
      <w:rPr>
        <w:rFonts w:ascii="Arial" w:eastAsiaTheme="maj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30A2A3C"/>
    <w:multiLevelType w:val="multilevel"/>
    <w:tmpl w:val="E5CEBB04"/>
    <w:lvl w:ilvl="0">
      <w:start w:val="1"/>
      <w:numFmt w:val="none"/>
      <w:lvlText w:val="»"/>
      <w:lvlJc w:val="left"/>
      <w:pPr>
        <w:ind w:left="567" w:hanging="283"/>
      </w:pPr>
      <w:rPr>
        <w:rFonts w:hint="default"/>
        <w:color w:val="FFFFFF" w:themeColor="background1"/>
      </w:rPr>
    </w:lvl>
    <w:lvl w:ilvl="1">
      <w:start w:val="1"/>
      <w:numFmt w:val="bullet"/>
      <w:pStyle w:val="SMCKastenblauAufzhlung2"/>
      <w:lvlText w:val="›"/>
      <w:lvlJc w:val="left"/>
      <w:pPr>
        <w:ind w:left="567" w:hanging="283"/>
      </w:pPr>
      <w:rPr>
        <w:rFonts w:ascii="Akko Rounded Pro Medium" w:hAnsi="Akko Rounded Pro Medium" w:hint="default"/>
        <w:color w:val="FFFFFF" w:themeColor="background1"/>
      </w:rPr>
    </w:lvl>
    <w:lvl w:ilvl="2">
      <w:start w:val="1"/>
      <w:numFmt w:val="bullet"/>
      <w:lvlText w:val=""/>
      <w:lvlJc w:val="left"/>
      <w:pPr>
        <w:ind w:left="567" w:hanging="283"/>
      </w:pPr>
      <w:rPr>
        <w:rFonts w:ascii="Wingdings" w:hAnsi="Wingdings" w:hint="default"/>
        <w:color w:val="FFFFFF" w:themeColor="background1"/>
      </w:rPr>
    </w:lvl>
    <w:lvl w:ilvl="3">
      <w:start w:val="1"/>
      <w:numFmt w:val="bullet"/>
      <w:lvlText w:val="→"/>
      <w:lvlJc w:val="left"/>
      <w:pPr>
        <w:ind w:left="567" w:hanging="283"/>
      </w:pPr>
      <w:rPr>
        <w:rFonts w:ascii="Akko Rounded Pro Medium" w:hAnsi="Akko Rounded Pro Medium" w:hint="default"/>
        <w:color w:val="FFFFFF" w:themeColor="background1"/>
        <w:sz w:val="26"/>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num w:numId="1" w16cid:durableId="442262485">
    <w:abstractNumId w:val="13"/>
  </w:num>
  <w:num w:numId="2" w16cid:durableId="1185048590">
    <w:abstractNumId w:val="10"/>
  </w:num>
  <w:num w:numId="3" w16cid:durableId="1240166029">
    <w:abstractNumId w:val="6"/>
  </w:num>
  <w:num w:numId="4" w16cid:durableId="1817067532">
    <w:abstractNumId w:val="5"/>
  </w:num>
  <w:num w:numId="5" w16cid:durableId="638152359">
    <w:abstractNumId w:val="17"/>
  </w:num>
  <w:num w:numId="6" w16cid:durableId="2122995223">
    <w:abstractNumId w:val="4"/>
  </w:num>
  <w:num w:numId="7" w16cid:durableId="95255426">
    <w:abstractNumId w:val="9"/>
  </w:num>
  <w:num w:numId="8" w16cid:durableId="1090614081">
    <w:abstractNumId w:val="0"/>
  </w:num>
  <w:num w:numId="9" w16cid:durableId="419759639">
    <w:abstractNumId w:val="7"/>
  </w:num>
  <w:num w:numId="10" w16cid:durableId="710419907">
    <w:abstractNumId w:val="8"/>
  </w:num>
  <w:num w:numId="11" w16cid:durableId="1346710450">
    <w:abstractNumId w:val="2"/>
  </w:num>
  <w:num w:numId="12" w16cid:durableId="1169293738">
    <w:abstractNumId w:val="1"/>
  </w:num>
  <w:num w:numId="13" w16cid:durableId="30620883">
    <w:abstractNumId w:val="14"/>
  </w:num>
  <w:num w:numId="14" w16cid:durableId="996880732">
    <w:abstractNumId w:val="11"/>
  </w:num>
  <w:num w:numId="15" w16cid:durableId="36704502">
    <w:abstractNumId w:val="3"/>
  </w:num>
  <w:num w:numId="16" w16cid:durableId="808934083">
    <w:abstractNumId w:val="12"/>
  </w:num>
  <w:num w:numId="17" w16cid:durableId="475298327">
    <w:abstractNumId w:val="16"/>
  </w:num>
  <w:num w:numId="18" w16cid:durableId="1827471683">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trackRevisions/>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D1"/>
    <w:rsid w:val="00003142"/>
    <w:rsid w:val="00003941"/>
    <w:rsid w:val="00005FDC"/>
    <w:rsid w:val="00006756"/>
    <w:rsid w:val="00006B9F"/>
    <w:rsid w:val="00006ED0"/>
    <w:rsid w:val="00007955"/>
    <w:rsid w:val="000106E0"/>
    <w:rsid w:val="00010C0B"/>
    <w:rsid w:val="00011BBC"/>
    <w:rsid w:val="00012906"/>
    <w:rsid w:val="0001389C"/>
    <w:rsid w:val="00013BBE"/>
    <w:rsid w:val="000149F0"/>
    <w:rsid w:val="00016D5E"/>
    <w:rsid w:val="00017CC0"/>
    <w:rsid w:val="00021733"/>
    <w:rsid w:val="00021B50"/>
    <w:rsid w:val="00022553"/>
    <w:rsid w:val="00023DC1"/>
    <w:rsid w:val="000240C5"/>
    <w:rsid w:val="00024A0D"/>
    <w:rsid w:val="00024D4D"/>
    <w:rsid w:val="00025879"/>
    <w:rsid w:val="00025CDC"/>
    <w:rsid w:val="000270CB"/>
    <w:rsid w:val="0002739F"/>
    <w:rsid w:val="00027F0D"/>
    <w:rsid w:val="000305DD"/>
    <w:rsid w:val="000306CB"/>
    <w:rsid w:val="00030975"/>
    <w:rsid w:val="0003208A"/>
    <w:rsid w:val="000347EA"/>
    <w:rsid w:val="00035146"/>
    <w:rsid w:val="00035B75"/>
    <w:rsid w:val="00036D79"/>
    <w:rsid w:val="0004033A"/>
    <w:rsid w:val="00041893"/>
    <w:rsid w:val="00042F59"/>
    <w:rsid w:val="00043B26"/>
    <w:rsid w:val="00044A57"/>
    <w:rsid w:val="00046544"/>
    <w:rsid w:val="0004681A"/>
    <w:rsid w:val="00051BA6"/>
    <w:rsid w:val="00053AAA"/>
    <w:rsid w:val="00053DA1"/>
    <w:rsid w:val="00054B8A"/>
    <w:rsid w:val="00054DE9"/>
    <w:rsid w:val="0006108C"/>
    <w:rsid w:val="000618A6"/>
    <w:rsid w:val="00063A0A"/>
    <w:rsid w:val="000648D0"/>
    <w:rsid w:val="00064E55"/>
    <w:rsid w:val="00065BA6"/>
    <w:rsid w:val="00071471"/>
    <w:rsid w:val="00072F2B"/>
    <w:rsid w:val="000749B6"/>
    <w:rsid w:val="00075402"/>
    <w:rsid w:val="0008037E"/>
    <w:rsid w:val="000807D3"/>
    <w:rsid w:val="0008171E"/>
    <w:rsid w:val="00083B23"/>
    <w:rsid w:val="00085F91"/>
    <w:rsid w:val="00087D09"/>
    <w:rsid w:val="00090A0B"/>
    <w:rsid w:val="000928F9"/>
    <w:rsid w:val="00094124"/>
    <w:rsid w:val="0009431C"/>
    <w:rsid w:val="00096B61"/>
    <w:rsid w:val="00096E0C"/>
    <w:rsid w:val="000A104A"/>
    <w:rsid w:val="000A13E2"/>
    <w:rsid w:val="000A557F"/>
    <w:rsid w:val="000A6B60"/>
    <w:rsid w:val="000B0E1B"/>
    <w:rsid w:val="000B1B9E"/>
    <w:rsid w:val="000B2190"/>
    <w:rsid w:val="000B2AE8"/>
    <w:rsid w:val="000B2D5E"/>
    <w:rsid w:val="000B3AA0"/>
    <w:rsid w:val="000B49BD"/>
    <w:rsid w:val="000B7C45"/>
    <w:rsid w:val="000C0999"/>
    <w:rsid w:val="000C22CB"/>
    <w:rsid w:val="000C50E9"/>
    <w:rsid w:val="000C5852"/>
    <w:rsid w:val="000C6680"/>
    <w:rsid w:val="000D111A"/>
    <w:rsid w:val="000D450B"/>
    <w:rsid w:val="000D468A"/>
    <w:rsid w:val="000E06F7"/>
    <w:rsid w:val="000E15FE"/>
    <w:rsid w:val="000E169E"/>
    <w:rsid w:val="000E1B95"/>
    <w:rsid w:val="000E575B"/>
    <w:rsid w:val="000E5ED7"/>
    <w:rsid w:val="000E5FA3"/>
    <w:rsid w:val="000E6E1A"/>
    <w:rsid w:val="000F01BE"/>
    <w:rsid w:val="000F103D"/>
    <w:rsid w:val="000F48AC"/>
    <w:rsid w:val="000F548E"/>
    <w:rsid w:val="000F549E"/>
    <w:rsid w:val="000F7303"/>
    <w:rsid w:val="000F7B51"/>
    <w:rsid w:val="000F7F39"/>
    <w:rsid w:val="00100D16"/>
    <w:rsid w:val="00100E88"/>
    <w:rsid w:val="00101A72"/>
    <w:rsid w:val="00103CFD"/>
    <w:rsid w:val="001040B0"/>
    <w:rsid w:val="00105BB8"/>
    <w:rsid w:val="00107BCC"/>
    <w:rsid w:val="00110E99"/>
    <w:rsid w:val="00111B51"/>
    <w:rsid w:val="001124A4"/>
    <w:rsid w:val="00112CA7"/>
    <w:rsid w:val="0011395B"/>
    <w:rsid w:val="00114085"/>
    <w:rsid w:val="00114E10"/>
    <w:rsid w:val="0011535B"/>
    <w:rsid w:val="00115E18"/>
    <w:rsid w:val="00122FEF"/>
    <w:rsid w:val="0012471D"/>
    <w:rsid w:val="00124BE3"/>
    <w:rsid w:val="00125683"/>
    <w:rsid w:val="00125D59"/>
    <w:rsid w:val="001306CD"/>
    <w:rsid w:val="001314AC"/>
    <w:rsid w:val="0013399F"/>
    <w:rsid w:val="00134B13"/>
    <w:rsid w:val="00134BE0"/>
    <w:rsid w:val="00135D96"/>
    <w:rsid w:val="0013660F"/>
    <w:rsid w:val="00136976"/>
    <w:rsid w:val="00141322"/>
    <w:rsid w:val="001420F7"/>
    <w:rsid w:val="001458CF"/>
    <w:rsid w:val="0014596C"/>
    <w:rsid w:val="00147A17"/>
    <w:rsid w:val="00151E13"/>
    <w:rsid w:val="00151F3B"/>
    <w:rsid w:val="0015580D"/>
    <w:rsid w:val="00155A40"/>
    <w:rsid w:val="00157875"/>
    <w:rsid w:val="001578B3"/>
    <w:rsid w:val="00160203"/>
    <w:rsid w:val="00160EF3"/>
    <w:rsid w:val="001611B3"/>
    <w:rsid w:val="00163A92"/>
    <w:rsid w:val="00164B05"/>
    <w:rsid w:val="00165BCF"/>
    <w:rsid w:val="00165F0B"/>
    <w:rsid w:val="0016665C"/>
    <w:rsid w:val="001674DD"/>
    <w:rsid w:val="001736B7"/>
    <w:rsid w:val="001741F5"/>
    <w:rsid w:val="00174C1B"/>
    <w:rsid w:val="00175078"/>
    <w:rsid w:val="00175ECC"/>
    <w:rsid w:val="00176426"/>
    <w:rsid w:val="00177575"/>
    <w:rsid w:val="00177D4C"/>
    <w:rsid w:val="00184CA5"/>
    <w:rsid w:val="00185B1E"/>
    <w:rsid w:val="00187316"/>
    <w:rsid w:val="001879AB"/>
    <w:rsid w:val="0019231A"/>
    <w:rsid w:val="00192FF7"/>
    <w:rsid w:val="00193D8F"/>
    <w:rsid w:val="00194CA9"/>
    <w:rsid w:val="0019506D"/>
    <w:rsid w:val="00196AF8"/>
    <w:rsid w:val="00196C03"/>
    <w:rsid w:val="00197C0B"/>
    <w:rsid w:val="001A00FB"/>
    <w:rsid w:val="001A03FC"/>
    <w:rsid w:val="001A2082"/>
    <w:rsid w:val="001A33D0"/>
    <w:rsid w:val="001A3421"/>
    <w:rsid w:val="001A43DA"/>
    <w:rsid w:val="001B0166"/>
    <w:rsid w:val="001B05BD"/>
    <w:rsid w:val="001B0B24"/>
    <w:rsid w:val="001B13EE"/>
    <w:rsid w:val="001B1BCC"/>
    <w:rsid w:val="001B29DD"/>
    <w:rsid w:val="001B2F11"/>
    <w:rsid w:val="001B6330"/>
    <w:rsid w:val="001C2F6B"/>
    <w:rsid w:val="001C4FCE"/>
    <w:rsid w:val="001C6667"/>
    <w:rsid w:val="001C71AD"/>
    <w:rsid w:val="001D5319"/>
    <w:rsid w:val="001D5945"/>
    <w:rsid w:val="001D5B66"/>
    <w:rsid w:val="001D7DBC"/>
    <w:rsid w:val="001D7FFC"/>
    <w:rsid w:val="001E03AA"/>
    <w:rsid w:val="001E0601"/>
    <w:rsid w:val="001E07AE"/>
    <w:rsid w:val="001E0B84"/>
    <w:rsid w:val="001E18EC"/>
    <w:rsid w:val="001E1D3A"/>
    <w:rsid w:val="001E267C"/>
    <w:rsid w:val="001E7242"/>
    <w:rsid w:val="001E74AF"/>
    <w:rsid w:val="001F4306"/>
    <w:rsid w:val="001F508A"/>
    <w:rsid w:val="001F7CBA"/>
    <w:rsid w:val="0020195C"/>
    <w:rsid w:val="00203BDA"/>
    <w:rsid w:val="00203BF0"/>
    <w:rsid w:val="00205983"/>
    <w:rsid w:val="0020639D"/>
    <w:rsid w:val="002065F8"/>
    <w:rsid w:val="00207DF5"/>
    <w:rsid w:val="00210940"/>
    <w:rsid w:val="002121AB"/>
    <w:rsid w:val="002153A9"/>
    <w:rsid w:val="0021584A"/>
    <w:rsid w:val="0021790D"/>
    <w:rsid w:val="00217F1B"/>
    <w:rsid w:val="00217F9E"/>
    <w:rsid w:val="0022045F"/>
    <w:rsid w:val="002207C2"/>
    <w:rsid w:val="00220F9B"/>
    <w:rsid w:val="00224D45"/>
    <w:rsid w:val="002267B5"/>
    <w:rsid w:val="00230682"/>
    <w:rsid w:val="002344C0"/>
    <w:rsid w:val="00237B72"/>
    <w:rsid w:val="0024104B"/>
    <w:rsid w:val="002424ED"/>
    <w:rsid w:val="0024289C"/>
    <w:rsid w:val="00242DE1"/>
    <w:rsid w:val="0024472F"/>
    <w:rsid w:val="002467E4"/>
    <w:rsid w:val="00247964"/>
    <w:rsid w:val="00247F04"/>
    <w:rsid w:val="00250A6E"/>
    <w:rsid w:val="002537F4"/>
    <w:rsid w:val="00254B07"/>
    <w:rsid w:val="0025507A"/>
    <w:rsid w:val="00255DC4"/>
    <w:rsid w:val="00260026"/>
    <w:rsid w:val="00260CB9"/>
    <w:rsid w:val="002631C3"/>
    <w:rsid w:val="002636C8"/>
    <w:rsid w:val="002641FF"/>
    <w:rsid w:val="002672BE"/>
    <w:rsid w:val="002736A2"/>
    <w:rsid w:val="00275346"/>
    <w:rsid w:val="00275D90"/>
    <w:rsid w:val="002828C6"/>
    <w:rsid w:val="00282D8F"/>
    <w:rsid w:val="00283151"/>
    <w:rsid w:val="00283D3D"/>
    <w:rsid w:val="00284879"/>
    <w:rsid w:val="00286FEE"/>
    <w:rsid w:val="00287053"/>
    <w:rsid w:val="00290B20"/>
    <w:rsid w:val="00291E4F"/>
    <w:rsid w:val="00292C2F"/>
    <w:rsid w:val="00292DFA"/>
    <w:rsid w:val="002936D3"/>
    <w:rsid w:val="00294C5F"/>
    <w:rsid w:val="0029507D"/>
    <w:rsid w:val="00295B76"/>
    <w:rsid w:val="00295E9E"/>
    <w:rsid w:val="00296566"/>
    <w:rsid w:val="002A0B33"/>
    <w:rsid w:val="002A51C4"/>
    <w:rsid w:val="002A51DE"/>
    <w:rsid w:val="002A55B5"/>
    <w:rsid w:val="002A5EAE"/>
    <w:rsid w:val="002A67D9"/>
    <w:rsid w:val="002A6F21"/>
    <w:rsid w:val="002B1585"/>
    <w:rsid w:val="002B7593"/>
    <w:rsid w:val="002C0694"/>
    <w:rsid w:val="002C4DBD"/>
    <w:rsid w:val="002D0360"/>
    <w:rsid w:val="002D3AF4"/>
    <w:rsid w:val="002D44AF"/>
    <w:rsid w:val="002D697E"/>
    <w:rsid w:val="002E0BCE"/>
    <w:rsid w:val="002E2DF2"/>
    <w:rsid w:val="002E3AFC"/>
    <w:rsid w:val="002E53B7"/>
    <w:rsid w:val="002E53CB"/>
    <w:rsid w:val="002E6502"/>
    <w:rsid w:val="002E7814"/>
    <w:rsid w:val="002E7D8C"/>
    <w:rsid w:val="002F0109"/>
    <w:rsid w:val="002F0231"/>
    <w:rsid w:val="002F139B"/>
    <w:rsid w:val="002F1722"/>
    <w:rsid w:val="002F1907"/>
    <w:rsid w:val="002F1A9A"/>
    <w:rsid w:val="002F286C"/>
    <w:rsid w:val="002F37AA"/>
    <w:rsid w:val="002F49E1"/>
    <w:rsid w:val="002F5986"/>
    <w:rsid w:val="002F630A"/>
    <w:rsid w:val="002F6C77"/>
    <w:rsid w:val="0030055F"/>
    <w:rsid w:val="0030110E"/>
    <w:rsid w:val="003017F3"/>
    <w:rsid w:val="0030242E"/>
    <w:rsid w:val="003037E0"/>
    <w:rsid w:val="0030513D"/>
    <w:rsid w:val="00306967"/>
    <w:rsid w:val="00307E13"/>
    <w:rsid w:val="003103F4"/>
    <w:rsid w:val="00311A56"/>
    <w:rsid w:val="00312C29"/>
    <w:rsid w:val="00314951"/>
    <w:rsid w:val="003149A6"/>
    <w:rsid w:val="00315323"/>
    <w:rsid w:val="00315DFB"/>
    <w:rsid w:val="0031630C"/>
    <w:rsid w:val="003169B2"/>
    <w:rsid w:val="00316DF8"/>
    <w:rsid w:val="00322BE0"/>
    <w:rsid w:val="00324D23"/>
    <w:rsid w:val="00324F49"/>
    <w:rsid w:val="00325699"/>
    <w:rsid w:val="00332947"/>
    <w:rsid w:val="00332BCE"/>
    <w:rsid w:val="003349AA"/>
    <w:rsid w:val="00335283"/>
    <w:rsid w:val="0033550C"/>
    <w:rsid w:val="003357C4"/>
    <w:rsid w:val="0033697E"/>
    <w:rsid w:val="003374A6"/>
    <w:rsid w:val="00337ADD"/>
    <w:rsid w:val="003418B1"/>
    <w:rsid w:val="00341B49"/>
    <w:rsid w:val="003423D9"/>
    <w:rsid w:val="0034453B"/>
    <w:rsid w:val="003454C4"/>
    <w:rsid w:val="00346B0A"/>
    <w:rsid w:val="00347AE9"/>
    <w:rsid w:val="003507F9"/>
    <w:rsid w:val="0035108E"/>
    <w:rsid w:val="003513BB"/>
    <w:rsid w:val="00352083"/>
    <w:rsid w:val="00352631"/>
    <w:rsid w:val="0035275B"/>
    <w:rsid w:val="00352CD1"/>
    <w:rsid w:val="00355571"/>
    <w:rsid w:val="0035561C"/>
    <w:rsid w:val="0035649E"/>
    <w:rsid w:val="00360568"/>
    <w:rsid w:val="00361415"/>
    <w:rsid w:val="00363818"/>
    <w:rsid w:val="00364179"/>
    <w:rsid w:val="00364247"/>
    <w:rsid w:val="00365569"/>
    <w:rsid w:val="003664B8"/>
    <w:rsid w:val="00366B84"/>
    <w:rsid w:val="003746A3"/>
    <w:rsid w:val="00374760"/>
    <w:rsid w:val="00375F39"/>
    <w:rsid w:val="00376433"/>
    <w:rsid w:val="003800FA"/>
    <w:rsid w:val="0038137C"/>
    <w:rsid w:val="00381C63"/>
    <w:rsid w:val="00382ED1"/>
    <w:rsid w:val="003840DC"/>
    <w:rsid w:val="00384583"/>
    <w:rsid w:val="00384A33"/>
    <w:rsid w:val="00386F38"/>
    <w:rsid w:val="0038726D"/>
    <w:rsid w:val="003905B7"/>
    <w:rsid w:val="003918B9"/>
    <w:rsid w:val="00391B6E"/>
    <w:rsid w:val="00391B9D"/>
    <w:rsid w:val="003923F8"/>
    <w:rsid w:val="00392AC3"/>
    <w:rsid w:val="0039421C"/>
    <w:rsid w:val="003942E7"/>
    <w:rsid w:val="003A2267"/>
    <w:rsid w:val="003A2387"/>
    <w:rsid w:val="003A28C8"/>
    <w:rsid w:val="003A2A6B"/>
    <w:rsid w:val="003A479C"/>
    <w:rsid w:val="003A51F0"/>
    <w:rsid w:val="003A53D7"/>
    <w:rsid w:val="003A6717"/>
    <w:rsid w:val="003A71B0"/>
    <w:rsid w:val="003A7462"/>
    <w:rsid w:val="003B029E"/>
    <w:rsid w:val="003B0A61"/>
    <w:rsid w:val="003B12FC"/>
    <w:rsid w:val="003B1F86"/>
    <w:rsid w:val="003B2CE9"/>
    <w:rsid w:val="003B31C9"/>
    <w:rsid w:val="003B3D37"/>
    <w:rsid w:val="003B44E7"/>
    <w:rsid w:val="003C1437"/>
    <w:rsid w:val="003C532D"/>
    <w:rsid w:val="003C5791"/>
    <w:rsid w:val="003C6F84"/>
    <w:rsid w:val="003C764E"/>
    <w:rsid w:val="003D0986"/>
    <w:rsid w:val="003D0B72"/>
    <w:rsid w:val="003D150E"/>
    <w:rsid w:val="003D17BF"/>
    <w:rsid w:val="003D183B"/>
    <w:rsid w:val="003D2408"/>
    <w:rsid w:val="003D524C"/>
    <w:rsid w:val="003D5EA0"/>
    <w:rsid w:val="003D692C"/>
    <w:rsid w:val="003E285C"/>
    <w:rsid w:val="003E3161"/>
    <w:rsid w:val="003E527D"/>
    <w:rsid w:val="003E573F"/>
    <w:rsid w:val="003F11A7"/>
    <w:rsid w:val="003F1826"/>
    <w:rsid w:val="003F1CA4"/>
    <w:rsid w:val="003F2ADE"/>
    <w:rsid w:val="003F36FD"/>
    <w:rsid w:val="003F4071"/>
    <w:rsid w:val="003F6658"/>
    <w:rsid w:val="003F66C0"/>
    <w:rsid w:val="00401907"/>
    <w:rsid w:val="00401976"/>
    <w:rsid w:val="00403195"/>
    <w:rsid w:val="00405973"/>
    <w:rsid w:val="00407865"/>
    <w:rsid w:val="004118B9"/>
    <w:rsid w:val="00414E4E"/>
    <w:rsid w:val="004203BE"/>
    <w:rsid w:val="004213BA"/>
    <w:rsid w:val="004215D5"/>
    <w:rsid w:val="00421E3E"/>
    <w:rsid w:val="004256A1"/>
    <w:rsid w:val="004260F2"/>
    <w:rsid w:val="00426140"/>
    <w:rsid w:val="004276E0"/>
    <w:rsid w:val="00427A2B"/>
    <w:rsid w:val="00430143"/>
    <w:rsid w:val="00430A13"/>
    <w:rsid w:val="00431465"/>
    <w:rsid w:val="00435443"/>
    <w:rsid w:val="00436AA5"/>
    <w:rsid w:val="0044109C"/>
    <w:rsid w:val="0044146A"/>
    <w:rsid w:val="004417E0"/>
    <w:rsid w:val="00443A44"/>
    <w:rsid w:val="00443DC2"/>
    <w:rsid w:val="004444CF"/>
    <w:rsid w:val="00445B65"/>
    <w:rsid w:val="004460E0"/>
    <w:rsid w:val="00446713"/>
    <w:rsid w:val="0044679F"/>
    <w:rsid w:val="00446B64"/>
    <w:rsid w:val="004473AF"/>
    <w:rsid w:val="00447D16"/>
    <w:rsid w:val="004502EE"/>
    <w:rsid w:val="004520A7"/>
    <w:rsid w:val="00452C85"/>
    <w:rsid w:val="00454B3E"/>
    <w:rsid w:val="00455576"/>
    <w:rsid w:val="00456FF9"/>
    <w:rsid w:val="00462D7F"/>
    <w:rsid w:val="0046577F"/>
    <w:rsid w:val="0046796E"/>
    <w:rsid w:val="00473131"/>
    <w:rsid w:val="0047537B"/>
    <w:rsid w:val="00480679"/>
    <w:rsid w:val="00480739"/>
    <w:rsid w:val="00480981"/>
    <w:rsid w:val="00480D54"/>
    <w:rsid w:val="00480D8D"/>
    <w:rsid w:val="004816A4"/>
    <w:rsid w:val="00482D98"/>
    <w:rsid w:val="00484FB5"/>
    <w:rsid w:val="00486ED9"/>
    <w:rsid w:val="004874CB"/>
    <w:rsid w:val="004909AF"/>
    <w:rsid w:val="004919E9"/>
    <w:rsid w:val="00491F4D"/>
    <w:rsid w:val="004920D5"/>
    <w:rsid w:val="00492342"/>
    <w:rsid w:val="0049674E"/>
    <w:rsid w:val="0049674F"/>
    <w:rsid w:val="0049707C"/>
    <w:rsid w:val="004A040D"/>
    <w:rsid w:val="004A1D23"/>
    <w:rsid w:val="004A2566"/>
    <w:rsid w:val="004A3595"/>
    <w:rsid w:val="004A3B00"/>
    <w:rsid w:val="004A4F56"/>
    <w:rsid w:val="004A53C3"/>
    <w:rsid w:val="004A567B"/>
    <w:rsid w:val="004A60E8"/>
    <w:rsid w:val="004B2B64"/>
    <w:rsid w:val="004B2D90"/>
    <w:rsid w:val="004B36C8"/>
    <w:rsid w:val="004B69B2"/>
    <w:rsid w:val="004B7BD7"/>
    <w:rsid w:val="004C081E"/>
    <w:rsid w:val="004C0EAC"/>
    <w:rsid w:val="004C24E1"/>
    <w:rsid w:val="004C5492"/>
    <w:rsid w:val="004C702A"/>
    <w:rsid w:val="004D25B1"/>
    <w:rsid w:val="004D2DCF"/>
    <w:rsid w:val="004D35BF"/>
    <w:rsid w:val="004D427E"/>
    <w:rsid w:val="004D4684"/>
    <w:rsid w:val="004D4D2C"/>
    <w:rsid w:val="004D6258"/>
    <w:rsid w:val="004D657E"/>
    <w:rsid w:val="004E0AE9"/>
    <w:rsid w:val="004E0FED"/>
    <w:rsid w:val="004E1A0A"/>
    <w:rsid w:val="004E4A39"/>
    <w:rsid w:val="004E5115"/>
    <w:rsid w:val="004E6A77"/>
    <w:rsid w:val="004E6C23"/>
    <w:rsid w:val="004F3AA4"/>
    <w:rsid w:val="004F6FB2"/>
    <w:rsid w:val="00500650"/>
    <w:rsid w:val="00500896"/>
    <w:rsid w:val="00501247"/>
    <w:rsid w:val="005022A3"/>
    <w:rsid w:val="00502B4D"/>
    <w:rsid w:val="005052F6"/>
    <w:rsid w:val="005058DD"/>
    <w:rsid w:val="005060AE"/>
    <w:rsid w:val="00512EED"/>
    <w:rsid w:val="00513C2F"/>
    <w:rsid w:val="005145A4"/>
    <w:rsid w:val="00514A1B"/>
    <w:rsid w:val="00514E42"/>
    <w:rsid w:val="0051500A"/>
    <w:rsid w:val="005164B5"/>
    <w:rsid w:val="0051711E"/>
    <w:rsid w:val="00521F23"/>
    <w:rsid w:val="00523569"/>
    <w:rsid w:val="00525B3F"/>
    <w:rsid w:val="00525FD7"/>
    <w:rsid w:val="00531AB9"/>
    <w:rsid w:val="00533FF0"/>
    <w:rsid w:val="00534425"/>
    <w:rsid w:val="00534D83"/>
    <w:rsid w:val="005353F0"/>
    <w:rsid w:val="00535D60"/>
    <w:rsid w:val="00535FD5"/>
    <w:rsid w:val="005372E9"/>
    <w:rsid w:val="005374ED"/>
    <w:rsid w:val="00545087"/>
    <w:rsid w:val="00545584"/>
    <w:rsid w:val="00545DD0"/>
    <w:rsid w:val="005473F8"/>
    <w:rsid w:val="00547561"/>
    <w:rsid w:val="00552CCB"/>
    <w:rsid w:val="00554103"/>
    <w:rsid w:val="00554359"/>
    <w:rsid w:val="005549D1"/>
    <w:rsid w:val="00554C1C"/>
    <w:rsid w:val="00556388"/>
    <w:rsid w:val="00556CC2"/>
    <w:rsid w:val="00560983"/>
    <w:rsid w:val="005609B9"/>
    <w:rsid w:val="00562273"/>
    <w:rsid w:val="00562799"/>
    <w:rsid w:val="0056287B"/>
    <w:rsid w:val="00565FE4"/>
    <w:rsid w:val="005665E5"/>
    <w:rsid w:val="00566FF9"/>
    <w:rsid w:val="00577E41"/>
    <w:rsid w:val="00580302"/>
    <w:rsid w:val="00581A94"/>
    <w:rsid w:val="005824F5"/>
    <w:rsid w:val="00583A83"/>
    <w:rsid w:val="00583C7F"/>
    <w:rsid w:val="005878B9"/>
    <w:rsid w:val="00587BF0"/>
    <w:rsid w:val="005904CD"/>
    <w:rsid w:val="005909D5"/>
    <w:rsid w:val="00591693"/>
    <w:rsid w:val="00591CCC"/>
    <w:rsid w:val="00594004"/>
    <w:rsid w:val="00596CE2"/>
    <w:rsid w:val="00597E4F"/>
    <w:rsid w:val="005A0402"/>
    <w:rsid w:val="005A0ACC"/>
    <w:rsid w:val="005A2FCA"/>
    <w:rsid w:val="005A2FCF"/>
    <w:rsid w:val="005A35EB"/>
    <w:rsid w:val="005A40FF"/>
    <w:rsid w:val="005A5DEE"/>
    <w:rsid w:val="005A62EC"/>
    <w:rsid w:val="005A6378"/>
    <w:rsid w:val="005A6E69"/>
    <w:rsid w:val="005A7BF0"/>
    <w:rsid w:val="005B299D"/>
    <w:rsid w:val="005B2D02"/>
    <w:rsid w:val="005B30F7"/>
    <w:rsid w:val="005B65B4"/>
    <w:rsid w:val="005B6E5F"/>
    <w:rsid w:val="005C0E2F"/>
    <w:rsid w:val="005C184A"/>
    <w:rsid w:val="005C22B1"/>
    <w:rsid w:val="005C230C"/>
    <w:rsid w:val="005C39C9"/>
    <w:rsid w:val="005C5030"/>
    <w:rsid w:val="005C615B"/>
    <w:rsid w:val="005C65BF"/>
    <w:rsid w:val="005C6713"/>
    <w:rsid w:val="005C75AC"/>
    <w:rsid w:val="005C7AA9"/>
    <w:rsid w:val="005C7ABF"/>
    <w:rsid w:val="005C7C62"/>
    <w:rsid w:val="005D0114"/>
    <w:rsid w:val="005D1EBD"/>
    <w:rsid w:val="005D28D1"/>
    <w:rsid w:val="005D4216"/>
    <w:rsid w:val="005D4CE3"/>
    <w:rsid w:val="005D5501"/>
    <w:rsid w:val="005D58E1"/>
    <w:rsid w:val="005D637D"/>
    <w:rsid w:val="005D71F1"/>
    <w:rsid w:val="005E052A"/>
    <w:rsid w:val="005E0A21"/>
    <w:rsid w:val="005E4519"/>
    <w:rsid w:val="005E47BE"/>
    <w:rsid w:val="005E4918"/>
    <w:rsid w:val="005E5ECB"/>
    <w:rsid w:val="005E766F"/>
    <w:rsid w:val="005F0A29"/>
    <w:rsid w:val="005F3A6C"/>
    <w:rsid w:val="005F3A80"/>
    <w:rsid w:val="005F42A0"/>
    <w:rsid w:val="005F4BA0"/>
    <w:rsid w:val="005F4BAC"/>
    <w:rsid w:val="005F615E"/>
    <w:rsid w:val="006006B6"/>
    <w:rsid w:val="0060106E"/>
    <w:rsid w:val="006015B7"/>
    <w:rsid w:val="006019CE"/>
    <w:rsid w:val="0060298B"/>
    <w:rsid w:val="00606863"/>
    <w:rsid w:val="00606D5F"/>
    <w:rsid w:val="00611B88"/>
    <w:rsid w:val="00611D3B"/>
    <w:rsid w:val="00612493"/>
    <w:rsid w:val="00612EA3"/>
    <w:rsid w:val="006134EE"/>
    <w:rsid w:val="006156DB"/>
    <w:rsid w:val="00615766"/>
    <w:rsid w:val="00617EA1"/>
    <w:rsid w:val="006220B6"/>
    <w:rsid w:val="00623094"/>
    <w:rsid w:val="00623AAD"/>
    <w:rsid w:val="00623C80"/>
    <w:rsid w:val="0062542D"/>
    <w:rsid w:val="00626140"/>
    <w:rsid w:val="00631750"/>
    <w:rsid w:val="006317C2"/>
    <w:rsid w:val="00631C0B"/>
    <w:rsid w:val="006320A8"/>
    <w:rsid w:val="00633665"/>
    <w:rsid w:val="006402A8"/>
    <w:rsid w:val="006404C5"/>
    <w:rsid w:val="00640B79"/>
    <w:rsid w:val="00642185"/>
    <w:rsid w:val="00642C67"/>
    <w:rsid w:val="00642CD6"/>
    <w:rsid w:val="00643E08"/>
    <w:rsid w:val="00643EC8"/>
    <w:rsid w:val="00645475"/>
    <w:rsid w:val="00645650"/>
    <w:rsid w:val="00645CCD"/>
    <w:rsid w:val="00646357"/>
    <w:rsid w:val="006467D3"/>
    <w:rsid w:val="006478C3"/>
    <w:rsid w:val="0065112F"/>
    <w:rsid w:val="0065342B"/>
    <w:rsid w:val="00656522"/>
    <w:rsid w:val="00656A21"/>
    <w:rsid w:val="00660ABB"/>
    <w:rsid w:val="006614CD"/>
    <w:rsid w:val="00661653"/>
    <w:rsid w:val="00661C83"/>
    <w:rsid w:val="00661E2A"/>
    <w:rsid w:val="00663345"/>
    <w:rsid w:val="00665DDA"/>
    <w:rsid w:val="00666294"/>
    <w:rsid w:val="00670128"/>
    <w:rsid w:val="00673E2F"/>
    <w:rsid w:val="006740B6"/>
    <w:rsid w:val="006769E0"/>
    <w:rsid w:val="006842F4"/>
    <w:rsid w:val="00684E7C"/>
    <w:rsid w:val="00685F71"/>
    <w:rsid w:val="0069034A"/>
    <w:rsid w:val="006935EF"/>
    <w:rsid w:val="00693B02"/>
    <w:rsid w:val="00694575"/>
    <w:rsid w:val="006A1AC7"/>
    <w:rsid w:val="006A1B12"/>
    <w:rsid w:val="006A2588"/>
    <w:rsid w:val="006A2E4D"/>
    <w:rsid w:val="006A34C9"/>
    <w:rsid w:val="006A5572"/>
    <w:rsid w:val="006B0BA6"/>
    <w:rsid w:val="006B1808"/>
    <w:rsid w:val="006B3264"/>
    <w:rsid w:val="006B332C"/>
    <w:rsid w:val="006B5EF5"/>
    <w:rsid w:val="006C01C0"/>
    <w:rsid w:val="006C16AC"/>
    <w:rsid w:val="006C1CF3"/>
    <w:rsid w:val="006C222B"/>
    <w:rsid w:val="006C2736"/>
    <w:rsid w:val="006C2830"/>
    <w:rsid w:val="006C7263"/>
    <w:rsid w:val="006C7C78"/>
    <w:rsid w:val="006D023E"/>
    <w:rsid w:val="006D1037"/>
    <w:rsid w:val="006D13A9"/>
    <w:rsid w:val="006D1751"/>
    <w:rsid w:val="006D1D19"/>
    <w:rsid w:val="006D1F0E"/>
    <w:rsid w:val="006D2032"/>
    <w:rsid w:val="006D4EEA"/>
    <w:rsid w:val="006D633C"/>
    <w:rsid w:val="006D6EAC"/>
    <w:rsid w:val="006D79A7"/>
    <w:rsid w:val="006D7F90"/>
    <w:rsid w:val="006E1669"/>
    <w:rsid w:val="006E191D"/>
    <w:rsid w:val="006E2813"/>
    <w:rsid w:val="006E28A3"/>
    <w:rsid w:val="006E343E"/>
    <w:rsid w:val="006E6381"/>
    <w:rsid w:val="006E64E8"/>
    <w:rsid w:val="006F0F2F"/>
    <w:rsid w:val="006F23CE"/>
    <w:rsid w:val="006F7BE4"/>
    <w:rsid w:val="00701848"/>
    <w:rsid w:val="00702F5B"/>
    <w:rsid w:val="00703284"/>
    <w:rsid w:val="007036F8"/>
    <w:rsid w:val="00703B6E"/>
    <w:rsid w:val="00703EBB"/>
    <w:rsid w:val="00706260"/>
    <w:rsid w:val="00706B04"/>
    <w:rsid w:val="00707607"/>
    <w:rsid w:val="00707F19"/>
    <w:rsid w:val="00710D1B"/>
    <w:rsid w:val="007146FE"/>
    <w:rsid w:val="00716EFB"/>
    <w:rsid w:val="00720093"/>
    <w:rsid w:val="00720F59"/>
    <w:rsid w:val="00721FBB"/>
    <w:rsid w:val="00724F24"/>
    <w:rsid w:val="00730F90"/>
    <w:rsid w:val="00731F85"/>
    <w:rsid w:val="00732551"/>
    <w:rsid w:val="0073313A"/>
    <w:rsid w:val="00733E35"/>
    <w:rsid w:val="00735FEF"/>
    <w:rsid w:val="00736AB8"/>
    <w:rsid w:val="00736D98"/>
    <w:rsid w:val="00737A2E"/>
    <w:rsid w:val="00737AA8"/>
    <w:rsid w:val="00737BAD"/>
    <w:rsid w:val="007436B5"/>
    <w:rsid w:val="007450ED"/>
    <w:rsid w:val="00746A7E"/>
    <w:rsid w:val="00751B3F"/>
    <w:rsid w:val="00752325"/>
    <w:rsid w:val="00753310"/>
    <w:rsid w:val="00753E5A"/>
    <w:rsid w:val="00757136"/>
    <w:rsid w:val="007579C8"/>
    <w:rsid w:val="0076111C"/>
    <w:rsid w:val="007614AD"/>
    <w:rsid w:val="00762170"/>
    <w:rsid w:val="00762580"/>
    <w:rsid w:val="00764621"/>
    <w:rsid w:val="00765B5E"/>
    <w:rsid w:val="00766E51"/>
    <w:rsid w:val="007672AE"/>
    <w:rsid w:val="007748C4"/>
    <w:rsid w:val="00781A18"/>
    <w:rsid w:val="00782998"/>
    <w:rsid w:val="00784052"/>
    <w:rsid w:val="00784DC6"/>
    <w:rsid w:val="007850BF"/>
    <w:rsid w:val="00786EC2"/>
    <w:rsid w:val="00791414"/>
    <w:rsid w:val="00792F97"/>
    <w:rsid w:val="007939F2"/>
    <w:rsid w:val="00794865"/>
    <w:rsid w:val="007A0198"/>
    <w:rsid w:val="007A06C3"/>
    <w:rsid w:val="007A06D2"/>
    <w:rsid w:val="007A1C8E"/>
    <w:rsid w:val="007A677A"/>
    <w:rsid w:val="007A734D"/>
    <w:rsid w:val="007B0D4C"/>
    <w:rsid w:val="007B38F7"/>
    <w:rsid w:val="007B3FED"/>
    <w:rsid w:val="007B6D17"/>
    <w:rsid w:val="007B7E00"/>
    <w:rsid w:val="007C0722"/>
    <w:rsid w:val="007C1903"/>
    <w:rsid w:val="007C3F7B"/>
    <w:rsid w:val="007C4BA0"/>
    <w:rsid w:val="007D0DEF"/>
    <w:rsid w:val="007D183E"/>
    <w:rsid w:val="007D18CE"/>
    <w:rsid w:val="007D1A9B"/>
    <w:rsid w:val="007D1C7C"/>
    <w:rsid w:val="007D1D72"/>
    <w:rsid w:val="007D243A"/>
    <w:rsid w:val="007D2B9F"/>
    <w:rsid w:val="007D2E90"/>
    <w:rsid w:val="007D3638"/>
    <w:rsid w:val="007D57F9"/>
    <w:rsid w:val="007D602A"/>
    <w:rsid w:val="007D64FD"/>
    <w:rsid w:val="007D69DE"/>
    <w:rsid w:val="007D6AF2"/>
    <w:rsid w:val="007E22D5"/>
    <w:rsid w:val="007F2760"/>
    <w:rsid w:val="007F51F3"/>
    <w:rsid w:val="007F58F2"/>
    <w:rsid w:val="00800833"/>
    <w:rsid w:val="00801DBC"/>
    <w:rsid w:val="008030BC"/>
    <w:rsid w:val="008041B7"/>
    <w:rsid w:val="0080480D"/>
    <w:rsid w:val="00805FDA"/>
    <w:rsid w:val="008074E9"/>
    <w:rsid w:val="008163AA"/>
    <w:rsid w:val="00821E4E"/>
    <w:rsid w:val="0082202A"/>
    <w:rsid w:val="008222EA"/>
    <w:rsid w:val="00822A76"/>
    <w:rsid w:val="0082556A"/>
    <w:rsid w:val="0082631A"/>
    <w:rsid w:val="00830282"/>
    <w:rsid w:val="00832EB7"/>
    <w:rsid w:val="00833B7B"/>
    <w:rsid w:val="00833E43"/>
    <w:rsid w:val="00836318"/>
    <w:rsid w:val="00836388"/>
    <w:rsid w:val="00836EDB"/>
    <w:rsid w:val="008414A3"/>
    <w:rsid w:val="00841957"/>
    <w:rsid w:val="00842DEF"/>
    <w:rsid w:val="00843155"/>
    <w:rsid w:val="00845559"/>
    <w:rsid w:val="008505A9"/>
    <w:rsid w:val="008519BF"/>
    <w:rsid w:val="008524D4"/>
    <w:rsid w:val="00861865"/>
    <w:rsid w:val="00863228"/>
    <w:rsid w:val="00864A82"/>
    <w:rsid w:val="008657C5"/>
    <w:rsid w:val="00866DB4"/>
    <w:rsid w:val="008759E2"/>
    <w:rsid w:val="00877783"/>
    <w:rsid w:val="00880156"/>
    <w:rsid w:val="00882186"/>
    <w:rsid w:val="00884237"/>
    <w:rsid w:val="008869EF"/>
    <w:rsid w:val="008870EC"/>
    <w:rsid w:val="00890106"/>
    <w:rsid w:val="00890E0F"/>
    <w:rsid w:val="008917BF"/>
    <w:rsid w:val="00894267"/>
    <w:rsid w:val="008A1BFE"/>
    <w:rsid w:val="008A2464"/>
    <w:rsid w:val="008A2750"/>
    <w:rsid w:val="008A3AD8"/>
    <w:rsid w:val="008A5220"/>
    <w:rsid w:val="008A5738"/>
    <w:rsid w:val="008A6530"/>
    <w:rsid w:val="008B07C0"/>
    <w:rsid w:val="008B0DBB"/>
    <w:rsid w:val="008B1548"/>
    <w:rsid w:val="008B3B27"/>
    <w:rsid w:val="008B3F88"/>
    <w:rsid w:val="008B44F7"/>
    <w:rsid w:val="008B48B4"/>
    <w:rsid w:val="008B61FC"/>
    <w:rsid w:val="008B64A5"/>
    <w:rsid w:val="008B6CAB"/>
    <w:rsid w:val="008B7A8D"/>
    <w:rsid w:val="008C0802"/>
    <w:rsid w:val="008C195A"/>
    <w:rsid w:val="008C2C2E"/>
    <w:rsid w:val="008C3130"/>
    <w:rsid w:val="008C56A1"/>
    <w:rsid w:val="008C5B41"/>
    <w:rsid w:val="008C5D48"/>
    <w:rsid w:val="008C6C86"/>
    <w:rsid w:val="008D2243"/>
    <w:rsid w:val="008D659E"/>
    <w:rsid w:val="008E010C"/>
    <w:rsid w:val="008E08A5"/>
    <w:rsid w:val="008E23C7"/>
    <w:rsid w:val="008E4B46"/>
    <w:rsid w:val="008E66E9"/>
    <w:rsid w:val="008E7C26"/>
    <w:rsid w:val="008F0B90"/>
    <w:rsid w:val="008F17D5"/>
    <w:rsid w:val="008F1C77"/>
    <w:rsid w:val="008F24C9"/>
    <w:rsid w:val="008F56A5"/>
    <w:rsid w:val="008F6D11"/>
    <w:rsid w:val="008F7B9F"/>
    <w:rsid w:val="00900344"/>
    <w:rsid w:val="00900451"/>
    <w:rsid w:val="00900708"/>
    <w:rsid w:val="0090379B"/>
    <w:rsid w:val="00904704"/>
    <w:rsid w:val="00905299"/>
    <w:rsid w:val="00906AD8"/>
    <w:rsid w:val="00906C1F"/>
    <w:rsid w:val="00906DA8"/>
    <w:rsid w:val="009136D6"/>
    <w:rsid w:val="009158DC"/>
    <w:rsid w:val="00916C64"/>
    <w:rsid w:val="00916F0B"/>
    <w:rsid w:val="00917997"/>
    <w:rsid w:val="00922B0D"/>
    <w:rsid w:val="009256C0"/>
    <w:rsid w:val="00926D90"/>
    <w:rsid w:val="00932654"/>
    <w:rsid w:val="0093478C"/>
    <w:rsid w:val="009372FD"/>
    <w:rsid w:val="0093768F"/>
    <w:rsid w:val="0093796B"/>
    <w:rsid w:val="00940265"/>
    <w:rsid w:val="00940875"/>
    <w:rsid w:val="009409C5"/>
    <w:rsid w:val="009414B9"/>
    <w:rsid w:val="00941F8A"/>
    <w:rsid w:val="00942F3C"/>
    <w:rsid w:val="0094508D"/>
    <w:rsid w:val="009451BD"/>
    <w:rsid w:val="00946427"/>
    <w:rsid w:val="0095183F"/>
    <w:rsid w:val="009524DA"/>
    <w:rsid w:val="00953066"/>
    <w:rsid w:val="00955921"/>
    <w:rsid w:val="009611C6"/>
    <w:rsid w:val="00961D90"/>
    <w:rsid w:val="00963655"/>
    <w:rsid w:val="009653D3"/>
    <w:rsid w:val="00965844"/>
    <w:rsid w:val="00966920"/>
    <w:rsid w:val="00966A6A"/>
    <w:rsid w:val="00967B3D"/>
    <w:rsid w:val="00971AD5"/>
    <w:rsid w:val="00971DDB"/>
    <w:rsid w:val="00971EAB"/>
    <w:rsid w:val="009733EE"/>
    <w:rsid w:val="009743C6"/>
    <w:rsid w:val="00974738"/>
    <w:rsid w:val="00975ACB"/>
    <w:rsid w:val="0098145E"/>
    <w:rsid w:val="00981968"/>
    <w:rsid w:val="00981C83"/>
    <w:rsid w:val="009844ED"/>
    <w:rsid w:val="00990B55"/>
    <w:rsid w:val="0099162B"/>
    <w:rsid w:val="00991B9D"/>
    <w:rsid w:val="00993225"/>
    <w:rsid w:val="009956CB"/>
    <w:rsid w:val="00995B3D"/>
    <w:rsid w:val="00996393"/>
    <w:rsid w:val="00996CD7"/>
    <w:rsid w:val="00996D76"/>
    <w:rsid w:val="0099787E"/>
    <w:rsid w:val="009A1620"/>
    <w:rsid w:val="009A213F"/>
    <w:rsid w:val="009A2164"/>
    <w:rsid w:val="009B0D2F"/>
    <w:rsid w:val="009B34FA"/>
    <w:rsid w:val="009B42B1"/>
    <w:rsid w:val="009B5E0D"/>
    <w:rsid w:val="009B72DC"/>
    <w:rsid w:val="009C0CA5"/>
    <w:rsid w:val="009C2270"/>
    <w:rsid w:val="009C2981"/>
    <w:rsid w:val="009C2A25"/>
    <w:rsid w:val="009C763A"/>
    <w:rsid w:val="009C775A"/>
    <w:rsid w:val="009C77E8"/>
    <w:rsid w:val="009D0A91"/>
    <w:rsid w:val="009D219E"/>
    <w:rsid w:val="009D2E04"/>
    <w:rsid w:val="009D36A4"/>
    <w:rsid w:val="009D4369"/>
    <w:rsid w:val="009D4717"/>
    <w:rsid w:val="009D49DE"/>
    <w:rsid w:val="009D4CBE"/>
    <w:rsid w:val="009D5423"/>
    <w:rsid w:val="009D54AE"/>
    <w:rsid w:val="009D6F7E"/>
    <w:rsid w:val="009D7BE1"/>
    <w:rsid w:val="009E26D0"/>
    <w:rsid w:val="009E2908"/>
    <w:rsid w:val="009E29EE"/>
    <w:rsid w:val="009E4E08"/>
    <w:rsid w:val="009E5258"/>
    <w:rsid w:val="009E5332"/>
    <w:rsid w:val="009E5BAC"/>
    <w:rsid w:val="009E699C"/>
    <w:rsid w:val="009F10A0"/>
    <w:rsid w:val="009F140F"/>
    <w:rsid w:val="009F2190"/>
    <w:rsid w:val="009F28DD"/>
    <w:rsid w:val="009F3256"/>
    <w:rsid w:val="009F338A"/>
    <w:rsid w:val="009F4F55"/>
    <w:rsid w:val="009F5061"/>
    <w:rsid w:val="009F538D"/>
    <w:rsid w:val="009F61E1"/>
    <w:rsid w:val="009F6A1E"/>
    <w:rsid w:val="009F79D8"/>
    <w:rsid w:val="00A01219"/>
    <w:rsid w:val="00A03923"/>
    <w:rsid w:val="00A047D7"/>
    <w:rsid w:val="00A05FD1"/>
    <w:rsid w:val="00A07EC4"/>
    <w:rsid w:val="00A11714"/>
    <w:rsid w:val="00A117FE"/>
    <w:rsid w:val="00A11D53"/>
    <w:rsid w:val="00A162CE"/>
    <w:rsid w:val="00A16B12"/>
    <w:rsid w:val="00A17828"/>
    <w:rsid w:val="00A2246A"/>
    <w:rsid w:val="00A23F50"/>
    <w:rsid w:val="00A24424"/>
    <w:rsid w:val="00A262A6"/>
    <w:rsid w:val="00A26941"/>
    <w:rsid w:val="00A27E21"/>
    <w:rsid w:val="00A310F1"/>
    <w:rsid w:val="00A32507"/>
    <w:rsid w:val="00A333B0"/>
    <w:rsid w:val="00A343B6"/>
    <w:rsid w:val="00A35F20"/>
    <w:rsid w:val="00A36F8A"/>
    <w:rsid w:val="00A3743F"/>
    <w:rsid w:val="00A42A0B"/>
    <w:rsid w:val="00A44178"/>
    <w:rsid w:val="00A443F8"/>
    <w:rsid w:val="00A44F6E"/>
    <w:rsid w:val="00A45741"/>
    <w:rsid w:val="00A46E13"/>
    <w:rsid w:val="00A50055"/>
    <w:rsid w:val="00A5006F"/>
    <w:rsid w:val="00A516A1"/>
    <w:rsid w:val="00A522B7"/>
    <w:rsid w:val="00A5301D"/>
    <w:rsid w:val="00A540E6"/>
    <w:rsid w:val="00A55EE8"/>
    <w:rsid w:val="00A60299"/>
    <w:rsid w:val="00A62150"/>
    <w:rsid w:val="00A648C6"/>
    <w:rsid w:val="00A648CB"/>
    <w:rsid w:val="00A67ED2"/>
    <w:rsid w:val="00A702E3"/>
    <w:rsid w:val="00A73BC4"/>
    <w:rsid w:val="00A753E3"/>
    <w:rsid w:val="00A7562B"/>
    <w:rsid w:val="00A779CC"/>
    <w:rsid w:val="00A8480C"/>
    <w:rsid w:val="00A9372B"/>
    <w:rsid w:val="00A939A7"/>
    <w:rsid w:val="00A941D2"/>
    <w:rsid w:val="00A949C9"/>
    <w:rsid w:val="00A95531"/>
    <w:rsid w:val="00A960B0"/>
    <w:rsid w:val="00A96F4E"/>
    <w:rsid w:val="00AA03DC"/>
    <w:rsid w:val="00AA1FCB"/>
    <w:rsid w:val="00AA5055"/>
    <w:rsid w:val="00AA6891"/>
    <w:rsid w:val="00AB0DC0"/>
    <w:rsid w:val="00AB149D"/>
    <w:rsid w:val="00AB1F81"/>
    <w:rsid w:val="00AB2094"/>
    <w:rsid w:val="00AB27D3"/>
    <w:rsid w:val="00AB4456"/>
    <w:rsid w:val="00AB4491"/>
    <w:rsid w:val="00AB7115"/>
    <w:rsid w:val="00AB71AC"/>
    <w:rsid w:val="00AC17E2"/>
    <w:rsid w:val="00AC3104"/>
    <w:rsid w:val="00AC36B1"/>
    <w:rsid w:val="00AC3E0F"/>
    <w:rsid w:val="00AC4120"/>
    <w:rsid w:val="00AC440D"/>
    <w:rsid w:val="00AC4609"/>
    <w:rsid w:val="00AC6ECE"/>
    <w:rsid w:val="00AC7E1E"/>
    <w:rsid w:val="00AD0078"/>
    <w:rsid w:val="00AD058F"/>
    <w:rsid w:val="00AD26F9"/>
    <w:rsid w:val="00AD6734"/>
    <w:rsid w:val="00AE223D"/>
    <w:rsid w:val="00AE27AD"/>
    <w:rsid w:val="00AE6564"/>
    <w:rsid w:val="00AE7A8E"/>
    <w:rsid w:val="00AE7ABA"/>
    <w:rsid w:val="00AF0470"/>
    <w:rsid w:val="00AF0C3A"/>
    <w:rsid w:val="00AF2A57"/>
    <w:rsid w:val="00AF32BE"/>
    <w:rsid w:val="00AF59F5"/>
    <w:rsid w:val="00AF7891"/>
    <w:rsid w:val="00B03029"/>
    <w:rsid w:val="00B051CC"/>
    <w:rsid w:val="00B05996"/>
    <w:rsid w:val="00B061AD"/>
    <w:rsid w:val="00B06849"/>
    <w:rsid w:val="00B118EC"/>
    <w:rsid w:val="00B12A7B"/>
    <w:rsid w:val="00B142BE"/>
    <w:rsid w:val="00B207D8"/>
    <w:rsid w:val="00B20EA3"/>
    <w:rsid w:val="00B22379"/>
    <w:rsid w:val="00B22847"/>
    <w:rsid w:val="00B22CD8"/>
    <w:rsid w:val="00B22E00"/>
    <w:rsid w:val="00B232B1"/>
    <w:rsid w:val="00B2597B"/>
    <w:rsid w:val="00B27DF8"/>
    <w:rsid w:val="00B322A3"/>
    <w:rsid w:val="00B32320"/>
    <w:rsid w:val="00B32BF5"/>
    <w:rsid w:val="00B33694"/>
    <w:rsid w:val="00B359F6"/>
    <w:rsid w:val="00B35CCF"/>
    <w:rsid w:val="00B40017"/>
    <w:rsid w:val="00B41C41"/>
    <w:rsid w:val="00B425FC"/>
    <w:rsid w:val="00B42C04"/>
    <w:rsid w:val="00B43F95"/>
    <w:rsid w:val="00B44402"/>
    <w:rsid w:val="00B50738"/>
    <w:rsid w:val="00B5125A"/>
    <w:rsid w:val="00B51BD4"/>
    <w:rsid w:val="00B530D7"/>
    <w:rsid w:val="00B53C9D"/>
    <w:rsid w:val="00B54E5D"/>
    <w:rsid w:val="00B565AE"/>
    <w:rsid w:val="00B567E7"/>
    <w:rsid w:val="00B56F89"/>
    <w:rsid w:val="00B573A6"/>
    <w:rsid w:val="00B622C7"/>
    <w:rsid w:val="00B62E23"/>
    <w:rsid w:val="00B63548"/>
    <w:rsid w:val="00B64ABF"/>
    <w:rsid w:val="00B66E96"/>
    <w:rsid w:val="00B67B42"/>
    <w:rsid w:val="00B700B6"/>
    <w:rsid w:val="00B71B71"/>
    <w:rsid w:val="00B73B86"/>
    <w:rsid w:val="00B745B7"/>
    <w:rsid w:val="00B76AED"/>
    <w:rsid w:val="00B76DE5"/>
    <w:rsid w:val="00B803E3"/>
    <w:rsid w:val="00B81058"/>
    <w:rsid w:val="00B81939"/>
    <w:rsid w:val="00B82494"/>
    <w:rsid w:val="00B82A2F"/>
    <w:rsid w:val="00B832B9"/>
    <w:rsid w:val="00B834FA"/>
    <w:rsid w:val="00B84AFB"/>
    <w:rsid w:val="00B85028"/>
    <w:rsid w:val="00B922AB"/>
    <w:rsid w:val="00B9244C"/>
    <w:rsid w:val="00B92779"/>
    <w:rsid w:val="00B9758B"/>
    <w:rsid w:val="00BA3140"/>
    <w:rsid w:val="00BA4E2B"/>
    <w:rsid w:val="00BA5F7B"/>
    <w:rsid w:val="00BB1FF9"/>
    <w:rsid w:val="00BB6AF3"/>
    <w:rsid w:val="00BB6BA9"/>
    <w:rsid w:val="00BC26FA"/>
    <w:rsid w:val="00BC28E1"/>
    <w:rsid w:val="00BC2FA3"/>
    <w:rsid w:val="00BC6B28"/>
    <w:rsid w:val="00BC7189"/>
    <w:rsid w:val="00BC73E3"/>
    <w:rsid w:val="00BC7928"/>
    <w:rsid w:val="00BD1C3F"/>
    <w:rsid w:val="00BD3492"/>
    <w:rsid w:val="00BD6D62"/>
    <w:rsid w:val="00BD6E50"/>
    <w:rsid w:val="00BE041F"/>
    <w:rsid w:val="00BE08B9"/>
    <w:rsid w:val="00BE0BB1"/>
    <w:rsid w:val="00BE127A"/>
    <w:rsid w:val="00BE48CE"/>
    <w:rsid w:val="00BE64FD"/>
    <w:rsid w:val="00BE6B50"/>
    <w:rsid w:val="00BE7844"/>
    <w:rsid w:val="00BF3211"/>
    <w:rsid w:val="00BF537B"/>
    <w:rsid w:val="00BF5514"/>
    <w:rsid w:val="00BF5E41"/>
    <w:rsid w:val="00BF6DDE"/>
    <w:rsid w:val="00BF714F"/>
    <w:rsid w:val="00BF721E"/>
    <w:rsid w:val="00C008B1"/>
    <w:rsid w:val="00C01108"/>
    <w:rsid w:val="00C01219"/>
    <w:rsid w:val="00C01362"/>
    <w:rsid w:val="00C01F6C"/>
    <w:rsid w:val="00C02141"/>
    <w:rsid w:val="00C03E52"/>
    <w:rsid w:val="00C0479C"/>
    <w:rsid w:val="00C05EF3"/>
    <w:rsid w:val="00C071A5"/>
    <w:rsid w:val="00C10077"/>
    <w:rsid w:val="00C1197C"/>
    <w:rsid w:val="00C171F3"/>
    <w:rsid w:val="00C20195"/>
    <w:rsid w:val="00C21739"/>
    <w:rsid w:val="00C21FCD"/>
    <w:rsid w:val="00C2407B"/>
    <w:rsid w:val="00C2469D"/>
    <w:rsid w:val="00C24E20"/>
    <w:rsid w:val="00C253F2"/>
    <w:rsid w:val="00C2717D"/>
    <w:rsid w:val="00C30DFA"/>
    <w:rsid w:val="00C31C59"/>
    <w:rsid w:val="00C31F55"/>
    <w:rsid w:val="00C334D9"/>
    <w:rsid w:val="00C3565A"/>
    <w:rsid w:val="00C36E2F"/>
    <w:rsid w:val="00C400A9"/>
    <w:rsid w:val="00C4144D"/>
    <w:rsid w:val="00C41605"/>
    <w:rsid w:val="00C428EB"/>
    <w:rsid w:val="00C429FC"/>
    <w:rsid w:val="00C435FA"/>
    <w:rsid w:val="00C46344"/>
    <w:rsid w:val="00C46CC5"/>
    <w:rsid w:val="00C5196C"/>
    <w:rsid w:val="00C53363"/>
    <w:rsid w:val="00C53791"/>
    <w:rsid w:val="00C5379F"/>
    <w:rsid w:val="00C5428D"/>
    <w:rsid w:val="00C547CA"/>
    <w:rsid w:val="00C55D5D"/>
    <w:rsid w:val="00C5765E"/>
    <w:rsid w:val="00C6176B"/>
    <w:rsid w:val="00C67FE5"/>
    <w:rsid w:val="00C70797"/>
    <w:rsid w:val="00C707FA"/>
    <w:rsid w:val="00C7108D"/>
    <w:rsid w:val="00C710C0"/>
    <w:rsid w:val="00C71F1C"/>
    <w:rsid w:val="00C75123"/>
    <w:rsid w:val="00C762EB"/>
    <w:rsid w:val="00C82999"/>
    <w:rsid w:val="00C85A23"/>
    <w:rsid w:val="00C85CCE"/>
    <w:rsid w:val="00C864C3"/>
    <w:rsid w:val="00C866A8"/>
    <w:rsid w:val="00C87D55"/>
    <w:rsid w:val="00C91EDF"/>
    <w:rsid w:val="00C9397B"/>
    <w:rsid w:val="00C93AF5"/>
    <w:rsid w:val="00C93B2A"/>
    <w:rsid w:val="00C93E7C"/>
    <w:rsid w:val="00C9410B"/>
    <w:rsid w:val="00C94458"/>
    <w:rsid w:val="00C94A1B"/>
    <w:rsid w:val="00C9553E"/>
    <w:rsid w:val="00C95A3D"/>
    <w:rsid w:val="00C97A2E"/>
    <w:rsid w:val="00C97FAE"/>
    <w:rsid w:val="00CA2D16"/>
    <w:rsid w:val="00CA372B"/>
    <w:rsid w:val="00CA39EB"/>
    <w:rsid w:val="00CA48CA"/>
    <w:rsid w:val="00CA54F4"/>
    <w:rsid w:val="00CA5B26"/>
    <w:rsid w:val="00CA70BC"/>
    <w:rsid w:val="00CB0DD7"/>
    <w:rsid w:val="00CB1720"/>
    <w:rsid w:val="00CB2132"/>
    <w:rsid w:val="00CB3607"/>
    <w:rsid w:val="00CB3E25"/>
    <w:rsid w:val="00CB401B"/>
    <w:rsid w:val="00CB4D21"/>
    <w:rsid w:val="00CB624B"/>
    <w:rsid w:val="00CB6A3A"/>
    <w:rsid w:val="00CB6BCC"/>
    <w:rsid w:val="00CC18A1"/>
    <w:rsid w:val="00CC2B85"/>
    <w:rsid w:val="00CC442C"/>
    <w:rsid w:val="00CC62A5"/>
    <w:rsid w:val="00CC79B6"/>
    <w:rsid w:val="00CD1DF9"/>
    <w:rsid w:val="00CD2163"/>
    <w:rsid w:val="00CD24F2"/>
    <w:rsid w:val="00CD4541"/>
    <w:rsid w:val="00CD4BB4"/>
    <w:rsid w:val="00CD4FAC"/>
    <w:rsid w:val="00CD65EF"/>
    <w:rsid w:val="00CD70DE"/>
    <w:rsid w:val="00CE0A0A"/>
    <w:rsid w:val="00CE0ECC"/>
    <w:rsid w:val="00CE3159"/>
    <w:rsid w:val="00CE3C59"/>
    <w:rsid w:val="00CE5741"/>
    <w:rsid w:val="00CE6B33"/>
    <w:rsid w:val="00CE73E6"/>
    <w:rsid w:val="00CF06D8"/>
    <w:rsid w:val="00CF3E57"/>
    <w:rsid w:val="00CF7EDF"/>
    <w:rsid w:val="00D00697"/>
    <w:rsid w:val="00D00BB0"/>
    <w:rsid w:val="00D026FB"/>
    <w:rsid w:val="00D02FF4"/>
    <w:rsid w:val="00D03BBC"/>
    <w:rsid w:val="00D03E71"/>
    <w:rsid w:val="00D04068"/>
    <w:rsid w:val="00D0409A"/>
    <w:rsid w:val="00D046D1"/>
    <w:rsid w:val="00D05987"/>
    <w:rsid w:val="00D072F2"/>
    <w:rsid w:val="00D10131"/>
    <w:rsid w:val="00D108C6"/>
    <w:rsid w:val="00D108E1"/>
    <w:rsid w:val="00D10F05"/>
    <w:rsid w:val="00D11D92"/>
    <w:rsid w:val="00D132F7"/>
    <w:rsid w:val="00D15E9D"/>
    <w:rsid w:val="00D1604C"/>
    <w:rsid w:val="00D179F6"/>
    <w:rsid w:val="00D22901"/>
    <w:rsid w:val="00D26313"/>
    <w:rsid w:val="00D27FFC"/>
    <w:rsid w:val="00D31A52"/>
    <w:rsid w:val="00D31D16"/>
    <w:rsid w:val="00D32BF7"/>
    <w:rsid w:val="00D33387"/>
    <w:rsid w:val="00D334FC"/>
    <w:rsid w:val="00D337F3"/>
    <w:rsid w:val="00D33BD8"/>
    <w:rsid w:val="00D33BF2"/>
    <w:rsid w:val="00D34D1A"/>
    <w:rsid w:val="00D40823"/>
    <w:rsid w:val="00D41B5B"/>
    <w:rsid w:val="00D422C7"/>
    <w:rsid w:val="00D424C6"/>
    <w:rsid w:val="00D425BB"/>
    <w:rsid w:val="00D43DB5"/>
    <w:rsid w:val="00D46EF0"/>
    <w:rsid w:val="00D47848"/>
    <w:rsid w:val="00D50183"/>
    <w:rsid w:val="00D538E5"/>
    <w:rsid w:val="00D53BE5"/>
    <w:rsid w:val="00D53BF9"/>
    <w:rsid w:val="00D55C5E"/>
    <w:rsid w:val="00D60A0F"/>
    <w:rsid w:val="00D60F2A"/>
    <w:rsid w:val="00D6109B"/>
    <w:rsid w:val="00D61E0A"/>
    <w:rsid w:val="00D64F34"/>
    <w:rsid w:val="00D65145"/>
    <w:rsid w:val="00D657C7"/>
    <w:rsid w:val="00D72F93"/>
    <w:rsid w:val="00D73044"/>
    <w:rsid w:val="00D845E7"/>
    <w:rsid w:val="00D84D44"/>
    <w:rsid w:val="00D851DB"/>
    <w:rsid w:val="00D85DFB"/>
    <w:rsid w:val="00D86A81"/>
    <w:rsid w:val="00D90AAB"/>
    <w:rsid w:val="00D91EE4"/>
    <w:rsid w:val="00D9355D"/>
    <w:rsid w:val="00D9357E"/>
    <w:rsid w:val="00D94E9D"/>
    <w:rsid w:val="00D95DA7"/>
    <w:rsid w:val="00D96A56"/>
    <w:rsid w:val="00D97896"/>
    <w:rsid w:val="00DA068B"/>
    <w:rsid w:val="00DA0E01"/>
    <w:rsid w:val="00DA1FC6"/>
    <w:rsid w:val="00DA2370"/>
    <w:rsid w:val="00DA2961"/>
    <w:rsid w:val="00DA33F3"/>
    <w:rsid w:val="00DA34CA"/>
    <w:rsid w:val="00DA4B9A"/>
    <w:rsid w:val="00DA671A"/>
    <w:rsid w:val="00DB037B"/>
    <w:rsid w:val="00DB1CBC"/>
    <w:rsid w:val="00DB2DDD"/>
    <w:rsid w:val="00DB46D6"/>
    <w:rsid w:val="00DB4970"/>
    <w:rsid w:val="00DB717E"/>
    <w:rsid w:val="00DC030B"/>
    <w:rsid w:val="00DC0E9B"/>
    <w:rsid w:val="00DC3CF6"/>
    <w:rsid w:val="00DC4EF4"/>
    <w:rsid w:val="00DD0540"/>
    <w:rsid w:val="00DD1300"/>
    <w:rsid w:val="00DD1397"/>
    <w:rsid w:val="00DD19F0"/>
    <w:rsid w:val="00DD2C89"/>
    <w:rsid w:val="00DD3AA1"/>
    <w:rsid w:val="00DD4470"/>
    <w:rsid w:val="00DD5A47"/>
    <w:rsid w:val="00DD630F"/>
    <w:rsid w:val="00DD66FD"/>
    <w:rsid w:val="00DD7A07"/>
    <w:rsid w:val="00DD7E77"/>
    <w:rsid w:val="00DE3FB7"/>
    <w:rsid w:val="00DE4E8A"/>
    <w:rsid w:val="00DE563C"/>
    <w:rsid w:val="00DE7045"/>
    <w:rsid w:val="00DF0742"/>
    <w:rsid w:val="00DF09FB"/>
    <w:rsid w:val="00DF0D44"/>
    <w:rsid w:val="00DF1DBC"/>
    <w:rsid w:val="00DF25CC"/>
    <w:rsid w:val="00DF2BB7"/>
    <w:rsid w:val="00DF2C47"/>
    <w:rsid w:val="00DF3DFB"/>
    <w:rsid w:val="00DF3E6F"/>
    <w:rsid w:val="00DF52B5"/>
    <w:rsid w:val="00DF607A"/>
    <w:rsid w:val="00DF76DD"/>
    <w:rsid w:val="00E0078A"/>
    <w:rsid w:val="00E0136F"/>
    <w:rsid w:val="00E0288B"/>
    <w:rsid w:val="00E0549A"/>
    <w:rsid w:val="00E06057"/>
    <w:rsid w:val="00E06C88"/>
    <w:rsid w:val="00E108EF"/>
    <w:rsid w:val="00E11535"/>
    <w:rsid w:val="00E117D9"/>
    <w:rsid w:val="00E12492"/>
    <w:rsid w:val="00E12DB1"/>
    <w:rsid w:val="00E13D62"/>
    <w:rsid w:val="00E145F6"/>
    <w:rsid w:val="00E159A8"/>
    <w:rsid w:val="00E16776"/>
    <w:rsid w:val="00E22127"/>
    <w:rsid w:val="00E2297A"/>
    <w:rsid w:val="00E24FA4"/>
    <w:rsid w:val="00E25B88"/>
    <w:rsid w:val="00E265FD"/>
    <w:rsid w:val="00E267FE"/>
    <w:rsid w:val="00E302E3"/>
    <w:rsid w:val="00E307ED"/>
    <w:rsid w:val="00E3227D"/>
    <w:rsid w:val="00E33C64"/>
    <w:rsid w:val="00E36930"/>
    <w:rsid w:val="00E36B6A"/>
    <w:rsid w:val="00E44378"/>
    <w:rsid w:val="00E446E8"/>
    <w:rsid w:val="00E44919"/>
    <w:rsid w:val="00E45257"/>
    <w:rsid w:val="00E46975"/>
    <w:rsid w:val="00E470B2"/>
    <w:rsid w:val="00E4788A"/>
    <w:rsid w:val="00E47911"/>
    <w:rsid w:val="00E47C78"/>
    <w:rsid w:val="00E5072B"/>
    <w:rsid w:val="00E50E6B"/>
    <w:rsid w:val="00E5370E"/>
    <w:rsid w:val="00E54358"/>
    <w:rsid w:val="00E57D3A"/>
    <w:rsid w:val="00E604B6"/>
    <w:rsid w:val="00E606AA"/>
    <w:rsid w:val="00E60BCB"/>
    <w:rsid w:val="00E60BEA"/>
    <w:rsid w:val="00E62D59"/>
    <w:rsid w:val="00E6362E"/>
    <w:rsid w:val="00E63687"/>
    <w:rsid w:val="00E63D3B"/>
    <w:rsid w:val="00E6589B"/>
    <w:rsid w:val="00E65E32"/>
    <w:rsid w:val="00E6768C"/>
    <w:rsid w:val="00E70506"/>
    <w:rsid w:val="00E70BB6"/>
    <w:rsid w:val="00E72442"/>
    <w:rsid w:val="00E727C3"/>
    <w:rsid w:val="00E7411C"/>
    <w:rsid w:val="00E7412E"/>
    <w:rsid w:val="00E76D2B"/>
    <w:rsid w:val="00E80C95"/>
    <w:rsid w:val="00E810E1"/>
    <w:rsid w:val="00E81199"/>
    <w:rsid w:val="00E82503"/>
    <w:rsid w:val="00E84AFB"/>
    <w:rsid w:val="00E84B40"/>
    <w:rsid w:val="00E851A9"/>
    <w:rsid w:val="00E854FF"/>
    <w:rsid w:val="00E862C0"/>
    <w:rsid w:val="00E91A41"/>
    <w:rsid w:val="00E94694"/>
    <w:rsid w:val="00E94839"/>
    <w:rsid w:val="00E97106"/>
    <w:rsid w:val="00EA044E"/>
    <w:rsid w:val="00EA09D5"/>
    <w:rsid w:val="00EA1BDB"/>
    <w:rsid w:val="00EA1CCE"/>
    <w:rsid w:val="00EA347C"/>
    <w:rsid w:val="00EA49CF"/>
    <w:rsid w:val="00EA6496"/>
    <w:rsid w:val="00EA6D67"/>
    <w:rsid w:val="00EB01C6"/>
    <w:rsid w:val="00EB2DB7"/>
    <w:rsid w:val="00EB4EEB"/>
    <w:rsid w:val="00EB7EAB"/>
    <w:rsid w:val="00EC036D"/>
    <w:rsid w:val="00EC1D0F"/>
    <w:rsid w:val="00EC23DA"/>
    <w:rsid w:val="00EC3945"/>
    <w:rsid w:val="00EC3CE8"/>
    <w:rsid w:val="00EC4D58"/>
    <w:rsid w:val="00EC4FBB"/>
    <w:rsid w:val="00EC6104"/>
    <w:rsid w:val="00EC677F"/>
    <w:rsid w:val="00ED0702"/>
    <w:rsid w:val="00ED104A"/>
    <w:rsid w:val="00ED4858"/>
    <w:rsid w:val="00ED51DE"/>
    <w:rsid w:val="00ED67D9"/>
    <w:rsid w:val="00ED780A"/>
    <w:rsid w:val="00ED7FCD"/>
    <w:rsid w:val="00EE10AB"/>
    <w:rsid w:val="00EE132F"/>
    <w:rsid w:val="00EE28E5"/>
    <w:rsid w:val="00EE43C9"/>
    <w:rsid w:val="00EE599B"/>
    <w:rsid w:val="00EE59A5"/>
    <w:rsid w:val="00EE5E88"/>
    <w:rsid w:val="00EE64A3"/>
    <w:rsid w:val="00EE6CDB"/>
    <w:rsid w:val="00EE7965"/>
    <w:rsid w:val="00EF1852"/>
    <w:rsid w:val="00EF272A"/>
    <w:rsid w:val="00EF5D93"/>
    <w:rsid w:val="00EF6088"/>
    <w:rsid w:val="00EF6AB6"/>
    <w:rsid w:val="00EF71BA"/>
    <w:rsid w:val="00EF7CB1"/>
    <w:rsid w:val="00EF7FFA"/>
    <w:rsid w:val="00F02766"/>
    <w:rsid w:val="00F029B1"/>
    <w:rsid w:val="00F03175"/>
    <w:rsid w:val="00F03E47"/>
    <w:rsid w:val="00F049F1"/>
    <w:rsid w:val="00F05FEF"/>
    <w:rsid w:val="00F10BB5"/>
    <w:rsid w:val="00F11B70"/>
    <w:rsid w:val="00F14615"/>
    <w:rsid w:val="00F14EDE"/>
    <w:rsid w:val="00F15084"/>
    <w:rsid w:val="00F160D1"/>
    <w:rsid w:val="00F21902"/>
    <w:rsid w:val="00F23AF7"/>
    <w:rsid w:val="00F23D56"/>
    <w:rsid w:val="00F23D5C"/>
    <w:rsid w:val="00F24C6F"/>
    <w:rsid w:val="00F254F0"/>
    <w:rsid w:val="00F25E47"/>
    <w:rsid w:val="00F26A4A"/>
    <w:rsid w:val="00F276BD"/>
    <w:rsid w:val="00F306F4"/>
    <w:rsid w:val="00F31288"/>
    <w:rsid w:val="00F3135C"/>
    <w:rsid w:val="00F31535"/>
    <w:rsid w:val="00F333DD"/>
    <w:rsid w:val="00F35C7E"/>
    <w:rsid w:val="00F37745"/>
    <w:rsid w:val="00F411C3"/>
    <w:rsid w:val="00F42407"/>
    <w:rsid w:val="00F424B1"/>
    <w:rsid w:val="00F430FE"/>
    <w:rsid w:val="00F43E53"/>
    <w:rsid w:val="00F453C5"/>
    <w:rsid w:val="00F45484"/>
    <w:rsid w:val="00F47BE0"/>
    <w:rsid w:val="00F506A4"/>
    <w:rsid w:val="00F51C46"/>
    <w:rsid w:val="00F52CE2"/>
    <w:rsid w:val="00F5371A"/>
    <w:rsid w:val="00F54C40"/>
    <w:rsid w:val="00F6078B"/>
    <w:rsid w:val="00F64844"/>
    <w:rsid w:val="00F648D4"/>
    <w:rsid w:val="00F65EE5"/>
    <w:rsid w:val="00F664F1"/>
    <w:rsid w:val="00F6791B"/>
    <w:rsid w:val="00F67B04"/>
    <w:rsid w:val="00F70B20"/>
    <w:rsid w:val="00F719E2"/>
    <w:rsid w:val="00F71AFE"/>
    <w:rsid w:val="00F72BD3"/>
    <w:rsid w:val="00F7322B"/>
    <w:rsid w:val="00F7444C"/>
    <w:rsid w:val="00F75A0F"/>
    <w:rsid w:val="00F75BC4"/>
    <w:rsid w:val="00F762B5"/>
    <w:rsid w:val="00F763BE"/>
    <w:rsid w:val="00F76614"/>
    <w:rsid w:val="00F76CC8"/>
    <w:rsid w:val="00F77A29"/>
    <w:rsid w:val="00F805CC"/>
    <w:rsid w:val="00F808F3"/>
    <w:rsid w:val="00F81367"/>
    <w:rsid w:val="00F82B56"/>
    <w:rsid w:val="00F85CDE"/>
    <w:rsid w:val="00F878E5"/>
    <w:rsid w:val="00F87A86"/>
    <w:rsid w:val="00F902B4"/>
    <w:rsid w:val="00F90B47"/>
    <w:rsid w:val="00F90EF7"/>
    <w:rsid w:val="00F91BB7"/>
    <w:rsid w:val="00F9343B"/>
    <w:rsid w:val="00F93477"/>
    <w:rsid w:val="00F93B0E"/>
    <w:rsid w:val="00F93FE2"/>
    <w:rsid w:val="00F964EF"/>
    <w:rsid w:val="00F9751E"/>
    <w:rsid w:val="00FA0FF6"/>
    <w:rsid w:val="00FA2268"/>
    <w:rsid w:val="00FA2635"/>
    <w:rsid w:val="00FA2A81"/>
    <w:rsid w:val="00FA379D"/>
    <w:rsid w:val="00FA413D"/>
    <w:rsid w:val="00FA7946"/>
    <w:rsid w:val="00FA7D1C"/>
    <w:rsid w:val="00FB03DA"/>
    <w:rsid w:val="00FB0755"/>
    <w:rsid w:val="00FB0D3C"/>
    <w:rsid w:val="00FB2DE7"/>
    <w:rsid w:val="00FB3F1C"/>
    <w:rsid w:val="00FB567D"/>
    <w:rsid w:val="00FB713B"/>
    <w:rsid w:val="00FC06E6"/>
    <w:rsid w:val="00FC08DD"/>
    <w:rsid w:val="00FC19EC"/>
    <w:rsid w:val="00FC1CCD"/>
    <w:rsid w:val="00FC257E"/>
    <w:rsid w:val="00FC42A1"/>
    <w:rsid w:val="00FC4B7A"/>
    <w:rsid w:val="00FC6648"/>
    <w:rsid w:val="00FC6F5F"/>
    <w:rsid w:val="00FC7406"/>
    <w:rsid w:val="00FD2A72"/>
    <w:rsid w:val="00FD5611"/>
    <w:rsid w:val="00FD70F3"/>
    <w:rsid w:val="00FD79A0"/>
    <w:rsid w:val="00FE003D"/>
    <w:rsid w:val="00FE2ECF"/>
    <w:rsid w:val="00FE3A0C"/>
    <w:rsid w:val="00FE44CA"/>
    <w:rsid w:val="00FF0536"/>
    <w:rsid w:val="00FF0733"/>
    <w:rsid w:val="00FF2E0F"/>
    <w:rsid w:val="00FF42E4"/>
    <w:rsid w:val="00FF444D"/>
    <w:rsid w:val="00FF4EED"/>
    <w:rsid w:val="00FF508D"/>
    <w:rsid w:val="00FF783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3F054D"/>
  <w15:docId w15:val="{CD68639B-0FB0-F041-A4C8-AAAB20F81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D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2"/>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MC_Standard (ALT + S)"/>
    <w:qFormat/>
    <w:rsid w:val="00F25E47"/>
    <w:pPr>
      <w:spacing w:after="260" w:line="260" w:lineRule="atLeast"/>
    </w:pPr>
  </w:style>
  <w:style w:type="paragraph" w:styleId="berschrift1">
    <w:name w:val="heading 1"/>
    <w:aliases w:val="SMC_Überschrift 1 (ALT + 1)"/>
    <w:basedOn w:val="Standard"/>
    <w:next w:val="Standard"/>
    <w:link w:val="berschrift1Zchn"/>
    <w:uiPriority w:val="6"/>
    <w:rsid w:val="00966A6A"/>
    <w:pPr>
      <w:keepNext/>
      <w:keepLines/>
      <w:numPr>
        <w:numId w:val="2"/>
      </w:numPr>
      <w:suppressAutoHyphens/>
      <w:spacing w:before="360" w:after="240" w:line="340" w:lineRule="atLeast"/>
      <w:outlineLvl w:val="0"/>
    </w:pPr>
    <w:rPr>
      <w:rFonts w:asciiTheme="majorHAnsi" w:eastAsiaTheme="majorEastAsia" w:hAnsiTheme="majorHAnsi" w:cstheme="majorBidi"/>
      <w:color w:val="2A60AA" w:themeColor="accent1"/>
      <w:sz w:val="28"/>
      <w:szCs w:val="32"/>
    </w:rPr>
  </w:style>
  <w:style w:type="paragraph" w:styleId="berschrift2">
    <w:name w:val="heading 2"/>
    <w:aliases w:val="SMC_Überschrift 2 (ALT + 2)"/>
    <w:basedOn w:val="berschrift1"/>
    <w:next w:val="Standard"/>
    <w:link w:val="berschrift2Zchn"/>
    <w:uiPriority w:val="6"/>
    <w:unhideWhenUsed/>
    <w:rsid w:val="00F6791B"/>
    <w:pPr>
      <w:numPr>
        <w:ilvl w:val="1"/>
      </w:numPr>
      <w:spacing w:after="300" w:line="260" w:lineRule="atLeast"/>
      <w:outlineLvl w:val="1"/>
    </w:pPr>
    <w:rPr>
      <w:sz w:val="24"/>
      <w:szCs w:val="26"/>
    </w:rPr>
  </w:style>
  <w:style w:type="paragraph" w:styleId="berschrift3">
    <w:name w:val="heading 3"/>
    <w:aliases w:val="SMC_Überschrift 3 (ALT + 3)"/>
    <w:basedOn w:val="berschrift2"/>
    <w:next w:val="Standard"/>
    <w:link w:val="berschrift3Zchn"/>
    <w:uiPriority w:val="6"/>
    <w:unhideWhenUsed/>
    <w:rsid w:val="00F6791B"/>
    <w:pPr>
      <w:numPr>
        <w:ilvl w:val="2"/>
      </w:numPr>
      <w:outlineLvl w:val="2"/>
    </w:pPr>
    <w:rPr>
      <w:color w:val="auto"/>
      <w:szCs w:val="24"/>
    </w:rPr>
  </w:style>
  <w:style w:type="paragraph" w:styleId="berschrift4">
    <w:name w:val="heading 4"/>
    <w:aliases w:val="SMC_Überschrift 4"/>
    <w:basedOn w:val="berschrift3"/>
    <w:next w:val="Standard"/>
    <w:link w:val="berschrift4Zchn"/>
    <w:uiPriority w:val="6"/>
    <w:unhideWhenUsed/>
    <w:rsid w:val="00F6791B"/>
    <w:pPr>
      <w:numPr>
        <w:ilvl w:val="3"/>
      </w:numPr>
      <w:outlineLvl w:val="3"/>
    </w:pPr>
    <w:rPr>
      <w:iCs/>
    </w:rPr>
  </w:style>
  <w:style w:type="paragraph" w:styleId="berschrift5">
    <w:name w:val="heading 5"/>
    <w:basedOn w:val="Standard"/>
    <w:next w:val="Standard"/>
    <w:link w:val="berschrift5Zchn"/>
    <w:uiPriority w:val="9"/>
    <w:semiHidden/>
    <w:qFormat/>
    <w:rsid w:val="00F6791B"/>
    <w:pPr>
      <w:keepNext/>
      <w:keepLines/>
      <w:spacing w:before="40" w:after="0"/>
      <w:outlineLvl w:val="4"/>
    </w:pPr>
    <w:rPr>
      <w:rFonts w:asciiTheme="majorHAnsi" w:eastAsiaTheme="majorEastAsia" w:hAnsiTheme="majorHAnsi" w:cstheme="majorBidi"/>
      <w:color w:val="1F477F" w:themeColor="accent1" w:themeShade="BF"/>
    </w:rPr>
  </w:style>
  <w:style w:type="paragraph" w:styleId="berschrift6">
    <w:name w:val="heading 6"/>
    <w:basedOn w:val="Standard"/>
    <w:next w:val="Standard"/>
    <w:link w:val="berschrift6Zchn"/>
    <w:uiPriority w:val="9"/>
    <w:semiHidden/>
    <w:qFormat/>
    <w:rsid w:val="00F6791B"/>
    <w:pPr>
      <w:keepNext/>
      <w:keepLines/>
      <w:spacing w:before="40" w:after="0"/>
      <w:outlineLvl w:val="5"/>
    </w:pPr>
    <w:rPr>
      <w:rFonts w:asciiTheme="majorHAnsi" w:eastAsiaTheme="majorEastAsia" w:hAnsiTheme="majorHAnsi" w:cstheme="majorBidi"/>
      <w:color w:val="152F54"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unhideWhenUsed/>
    <w:rsid w:val="005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CTabelle-ohne-Rahmen">
    <w:name w:val="SMC_Tabelle-ohne-Rahmen"/>
    <w:basedOn w:val="NormaleTabelle"/>
    <w:uiPriority w:val="99"/>
    <w:rsid w:val="00ED7FCD"/>
    <w:pPr>
      <w:spacing w:after="0" w:line="240" w:lineRule="auto"/>
      <w:ind w:right="113"/>
    </w:pPr>
    <w:tblPr>
      <w:tblCellMar>
        <w:left w:w="0" w:type="dxa"/>
        <w:right w:w="0" w:type="dxa"/>
      </w:tblCellMar>
    </w:tblPr>
  </w:style>
  <w:style w:type="paragraph" w:customStyle="1" w:styleId="SMCUntertitel">
    <w:name w:val="SMC_Untertitel"/>
    <w:basedOn w:val="Standard"/>
    <w:uiPriority w:val="1"/>
    <w:rsid w:val="00C01362"/>
    <w:pPr>
      <w:keepNext/>
      <w:keepLines/>
      <w:suppressAutoHyphens/>
      <w:spacing w:before="240" w:after="240"/>
    </w:pPr>
    <w:rPr>
      <w:color w:val="2A60AA" w:themeColor="accent1"/>
      <w:sz w:val="24"/>
    </w:rPr>
  </w:style>
  <w:style w:type="character" w:styleId="Fett">
    <w:name w:val="Strong"/>
    <w:aliases w:val="SMC_Fett"/>
    <w:basedOn w:val="Absatz-Standardschriftart"/>
    <w:uiPriority w:val="1"/>
    <w:qFormat/>
    <w:rsid w:val="004C081E"/>
    <w:rPr>
      <w:b/>
      <w:bCs/>
    </w:rPr>
  </w:style>
  <w:style w:type="character" w:styleId="IntensiveHervorhebung">
    <w:name w:val="Intense Emphasis"/>
    <w:aliases w:val="SMC_Intensive Hervorhebung"/>
    <w:basedOn w:val="Absatz-Standardschriftart"/>
    <w:uiPriority w:val="2"/>
    <w:semiHidden/>
    <w:qFormat/>
    <w:rsid w:val="004C081E"/>
    <w:rPr>
      <w:b/>
      <w:i w:val="0"/>
      <w:iCs/>
      <w:color w:val="2A60AA" w:themeColor="accent1"/>
    </w:rPr>
  </w:style>
  <w:style w:type="character" w:customStyle="1" w:styleId="berschrift1Zchn">
    <w:name w:val="Überschrift 1 Zchn"/>
    <w:aliases w:val="SMC_Überschrift 1 (ALT + 1) Zchn"/>
    <w:basedOn w:val="Absatz-Standardschriftart"/>
    <w:link w:val="berschrift1"/>
    <w:uiPriority w:val="6"/>
    <w:rsid w:val="00D53BE5"/>
    <w:rPr>
      <w:rFonts w:asciiTheme="majorHAnsi" w:eastAsiaTheme="majorEastAsia" w:hAnsiTheme="majorHAnsi" w:cstheme="majorBidi"/>
      <w:color w:val="2A60AA" w:themeColor="accent1"/>
      <w:sz w:val="28"/>
      <w:szCs w:val="32"/>
    </w:rPr>
  </w:style>
  <w:style w:type="character" w:customStyle="1" w:styleId="berschrift2Zchn">
    <w:name w:val="Überschrift 2 Zchn"/>
    <w:aliases w:val="SMC_Überschrift 2 (ALT + 2) Zchn"/>
    <w:basedOn w:val="Absatz-Standardschriftart"/>
    <w:link w:val="berschrift2"/>
    <w:uiPriority w:val="6"/>
    <w:rsid w:val="00D53BE5"/>
    <w:rPr>
      <w:rFonts w:asciiTheme="majorHAnsi" w:eastAsiaTheme="majorEastAsia" w:hAnsiTheme="majorHAnsi" w:cstheme="majorBidi"/>
      <w:color w:val="2A60AA" w:themeColor="accent1"/>
      <w:sz w:val="24"/>
      <w:szCs w:val="26"/>
    </w:rPr>
  </w:style>
  <w:style w:type="character" w:customStyle="1" w:styleId="berschrift3Zchn">
    <w:name w:val="Überschrift 3 Zchn"/>
    <w:aliases w:val="SMC_Überschrift 3 (ALT + 3) Zchn"/>
    <w:basedOn w:val="Absatz-Standardschriftart"/>
    <w:link w:val="berschrift3"/>
    <w:uiPriority w:val="6"/>
    <w:rsid w:val="00D53BE5"/>
    <w:rPr>
      <w:rFonts w:asciiTheme="majorHAnsi" w:eastAsiaTheme="majorEastAsia" w:hAnsiTheme="majorHAnsi" w:cstheme="majorBidi"/>
      <w:sz w:val="24"/>
      <w:szCs w:val="24"/>
    </w:rPr>
  </w:style>
  <w:style w:type="character" w:customStyle="1" w:styleId="berschrift4Zchn">
    <w:name w:val="Überschrift 4 Zchn"/>
    <w:aliases w:val="SMC_Überschrift 4 Zchn"/>
    <w:basedOn w:val="Absatz-Standardschriftart"/>
    <w:link w:val="berschrift4"/>
    <w:uiPriority w:val="6"/>
    <w:rsid w:val="00D53BE5"/>
    <w:rPr>
      <w:rFonts w:asciiTheme="majorHAnsi" w:eastAsiaTheme="majorEastAsia" w:hAnsiTheme="majorHAnsi" w:cstheme="majorBidi"/>
      <w:iCs/>
      <w:sz w:val="24"/>
      <w:szCs w:val="24"/>
    </w:rPr>
  </w:style>
  <w:style w:type="character" w:customStyle="1" w:styleId="berschrift5Zchn">
    <w:name w:val="Überschrift 5 Zchn"/>
    <w:basedOn w:val="Absatz-Standardschriftart"/>
    <w:link w:val="berschrift5"/>
    <w:uiPriority w:val="9"/>
    <w:semiHidden/>
    <w:rsid w:val="00F6791B"/>
    <w:rPr>
      <w:rFonts w:asciiTheme="majorHAnsi" w:eastAsiaTheme="majorEastAsia" w:hAnsiTheme="majorHAnsi" w:cstheme="majorBidi"/>
      <w:color w:val="1F477F" w:themeColor="accent1" w:themeShade="BF"/>
    </w:rPr>
  </w:style>
  <w:style w:type="paragraph" w:customStyle="1" w:styleId="SMCAufzhlung1ALTQ">
    <w:name w:val="SMC_Aufzählung 1 (ALT + Q)"/>
    <w:basedOn w:val="Standard"/>
    <w:uiPriority w:val="4"/>
    <w:rsid w:val="00A443F8"/>
    <w:pPr>
      <w:numPr>
        <w:numId w:val="7"/>
      </w:numPr>
    </w:pPr>
    <w:rPr>
      <w:rFonts w:eastAsia="Calibri" w:cs="Times New Roman"/>
      <w:szCs w:val="22"/>
    </w:rPr>
  </w:style>
  <w:style w:type="paragraph" w:customStyle="1" w:styleId="SMCAufzhlung2">
    <w:name w:val="SMC_Aufzählung 2"/>
    <w:basedOn w:val="Standard"/>
    <w:uiPriority w:val="4"/>
    <w:rsid w:val="00A443F8"/>
    <w:pPr>
      <w:numPr>
        <w:ilvl w:val="1"/>
        <w:numId w:val="7"/>
      </w:numPr>
    </w:pPr>
    <w:rPr>
      <w:rFonts w:eastAsia="Calibri" w:cs="Times New Roman"/>
      <w:szCs w:val="22"/>
    </w:rPr>
  </w:style>
  <w:style w:type="paragraph" w:customStyle="1" w:styleId="SMCAufzhlung3">
    <w:name w:val="SMC_Aufzählung 3"/>
    <w:basedOn w:val="Standard"/>
    <w:uiPriority w:val="4"/>
    <w:rsid w:val="00A443F8"/>
    <w:pPr>
      <w:numPr>
        <w:ilvl w:val="2"/>
        <w:numId w:val="7"/>
      </w:numPr>
    </w:pPr>
    <w:rPr>
      <w:rFonts w:eastAsia="Calibri" w:cs="Times New Roman"/>
      <w:szCs w:val="22"/>
    </w:rPr>
  </w:style>
  <w:style w:type="numbering" w:customStyle="1" w:styleId="SMCListeAufzhlungen">
    <w:name w:val="SMC_ListeAufzählungen"/>
    <w:basedOn w:val="KeineListe"/>
    <w:uiPriority w:val="99"/>
    <w:rsid w:val="00247F04"/>
    <w:pPr>
      <w:numPr>
        <w:numId w:val="1"/>
      </w:numPr>
    </w:pPr>
  </w:style>
  <w:style w:type="paragraph" w:customStyle="1" w:styleId="SMCEinzugAufz1">
    <w:name w:val="SMC_Einzug Aufz. 1"/>
    <w:basedOn w:val="Standard"/>
    <w:uiPriority w:val="4"/>
    <w:rsid w:val="00A443F8"/>
    <w:pPr>
      <w:numPr>
        <w:numId w:val="8"/>
      </w:numPr>
    </w:pPr>
    <w:rPr>
      <w:szCs w:val="19"/>
    </w:rPr>
  </w:style>
  <w:style w:type="paragraph" w:customStyle="1" w:styleId="SMCEinzugAufz2">
    <w:name w:val="SMC_Einzug Aufz. 2"/>
    <w:basedOn w:val="Standard"/>
    <w:uiPriority w:val="4"/>
    <w:rsid w:val="00A443F8"/>
    <w:pPr>
      <w:numPr>
        <w:ilvl w:val="1"/>
        <w:numId w:val="8"/>
      </w:numPr>
    </w:pPr>
    <w:rPr>
      <w:szCs w:val="19"/>
    </w:rPr>
  </w:style>
  <w:style w:type="paragraph" w:customStyle="1" w:styleId="SMCEinzugAufz3">
    <w:name w:val="SMC_Einzug Aufz. 3"/>
    <w:basedOn w:val="Standard"/>
    <w:uiPriority w:val="4"/>
    <w:rsid w:val="00A443F8"/>
    <w:pPr>
      <w:numPr>
        <w:ilvl w:val="2"/>
        <w:numId w:val="8"/>
      </w:numPr>
    </w:pPr>
    <w:rPr>
      <w:szCs w:val="19"/>
    </w:rPr>
  </w:style>
  <w:style w:type="numbering" w:customStyle="1" w:styleId="SMCListeEinzgeAufzhlungen">
    <w:name w:val="SMC_ListeEinzügeAufzählungen"/>
    <w:basedOn w:val="KeineListe"/>
    <w:uiPriority w:val="99"/>
    <w:rsid w:val="00A443F8"/>
    <w:pPr>
      <w:numPr>
        <w:numId w:val="8"/>
      </w:numPr>
    </w:pPr>
  </w:style>
  <w:style w:type="table" w:customStyle="1" w:styleId="SMCTabelle-mit-Rahmen">
    <w:name w:val="SMC_Tabelle-mit-Rahmen"/>
    <w:basedOn w:val="NormaleTabelle"/>
    <w:uiPriority w:val="99"/>
    <w:rsid w:val="00642185"/>
    <w:pPr>
      <w:spacing w:after="0" w:line="240" w:lineRule="auto"/>
      <w:ind w:left="113" w:right="113"/>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unotentext">
    <w:name w:val="footnote text"/>
    <w:aliases w:val="SMC_Fußnotentext"/>
    <w:basedOn w:val="Standard"/>
    <w:link w:val="FunotentextZchn"/>
    <w:uiPriority w:val="99"/>
    <w:rsid w:val="00F029B1"/>
    <w:pPr>
      <w:spacing w:after="0"/>
    </w:pPr>
    <w:rPr>
      <w:color w:val="2690C1" w:themeColor="accent2"/>
      <w:sz w:val="16"/>
    </w:rPr>
  </w:style>
  <w:style w:type="character" w:customStyle="1" w:styleId="FunotentextZchn">
    <w:name w:val="Fußnotentext Zchn"/>
    <w:aliases w:val="SMC_Fußnotentext Zchn"/>
    <w:basedOn w:val="Absatz-Standardschriftart"/>
    <w:link w:val="Funotentext"/>
    <w:uiPriority w:val="99"/>
    <w:rsid w:val="00F029B1"/>
    <w:rPr>
      <w:color w:val="2690C1" w:themeColor="accent2"/>
      <w:sz w:val="16"/>
    </w:rPr>
  </w:style>
  <w:style w:type="character" w:styleId="Funotenzeichen">
    <w:name w:val="footnote reference"/>
    <w:basedOn w:val="Absatz-Standardschriftart"/>
    <w:uiPriority w:val="99"/>
    <w:semiHidden/>
    <w:rsid w:val="00890E0F"/>
    <w:rPr>
      <w:vertAlign w:val="superscript"/>
    </w:rPr>
  </w:style>
  <w:style w:type="paragraph" w:styleId="Verzeichnis1">
    <w:name w:val="toc 1"/>
    <w:aliases w:val="SMC_Verzeichnis 1"/>
    <w:basedOn w:val="Standard"/>
    <w:next w:val="Standard"/>
    <w:uiPriority w:val="39"/>
    <w:unhideWhenUsed/>
    <w:rsid w:val="00275346"/>
    <w:pPr>
      <w:spacing w:after="100"/>
    </w:pPr>
  </w:style>
  <w:style w:type="paragraph" w:styleId="Verzeichnis2">
    <w:name w:val="toc 2"/>
    <w:aliases w:val="SMC_Verzeichnis 2"/>
    <w:basedOn w:val="Standard"/>
    <w:next w:val="Standard"/>
    <w:uiPriority w:val="39"/>
    <w:unhideWhenUsed/>
    <w:rsid w:val="00275346"/>
    <w:pPr>
      <w:spacing w:after="100"/>
      <w:ind w:left="200"/>
    </w:pPr>
  </w:style>
  <w:style w:type="paragraph" w:styleId="Verzeichnis3">
    <w:name w:val="toc 3"/>
    <w:aliases w:val="SMC_Verzeichnis 3"/>
    <w:basedOn w:val="Standard"/>
    <w:next w:val="Standard"/>
    <w:uiPriority w:val="39"/>
    <w:unhideWhenUsed/>
    <w:rsid w:val="00275346"/>
    <w:pPr>
      <w:spacing w:after="100"/>
      <w:ind w:left="400"/>
    </w:pPr>
  </w:style>
  <w:style w:type="paragraph" w:styleId="Verzeichnis4">
    <w:name w:val="toc 4"/>
    <w:aliases w:val="SMC_Verzeichnis 4"/>
    <w:basedOn w:val="Standard"/>
    <w:next w:val="Standard"/>
    <w:uiPriority w:val="39"/>
    <w:unhideWhenUsed/>
    <w:rsid w:val="00275346"/>
    <w:pPr>
      <w:spacing w:after="100"/>
      <w:ind w:left="600"/>
    </w:pPr>
  </w:style>
  <w:style w:type="character" w:styleId="Hyperlink">
    <w:name w:val="Hyperlink"/>
    <w:aliases w:val="SMC_Hyperlink"/>
    <w:basedOn w:val="Absatz-Standardschriftart"/>
    <w:uiPriority w:val="99"/>
    <w:unhideWhenUsed/>
    <w:rsid w:val="00F6791B"/>
    <w:rPr>
      <w:color w:val="53727E"/>
      <w:u w:val="single"/>
      <w:lang w:val="de-DE"/>
    </w:rPr>
  </w:style>
  <w:style w:type="paragraph" w:styleId="Kopfzeile">
    <w:name w:val="header"/>
    <w:basedOn w:val="Standard"/>
    <w:link w:val="KopfzeileZchn"/>
    <w:uiPriority w:val="99"/>
    <w:semiHidden/>
    <w:rsid w:val="00B42C0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3800FA"/>
  </w:style>
  <w:style w:type="paragraph" w:styleId="Fuzeile">
    <w:name w:val="footer"/>
    <w:aliases w:val="SMC_Fußzeile"/>
    <w:basedOn w:val="Standard"/>
    <w:link w:val="FuzeileZchn"/>
    <w:uiPriority w:val="99"/>
    <w:rsid w:val="00CC2B85"/>
    <w:pPr>
      <w:spacing w:after="0" w:line="240" w:lineRule="auto"/>
      <w:jc w:val="right"/>
    </w:pPr>
    <w:rPr>
      <w:sz w:val="16"/>
    </w:rPr>
  </w:style>
  <w:style w:type="character" w:customStyle="1" w:styleId="FuzeileZchn">
    <w:name w:val="Fußzeile Zchn"/>
    <w:aliases w:val="SMC_Fußzeile Zchn"/>
    <w:basedOn w:val="Absatz-Standardschriftart"/>
    <w:link w:val="Fuzeile"/>
    <w:uiPriority w:val="99"/>
    <w:rsid w:val="00CC2B85"/>
    <w:rPr>
      <w:sz w:val="16"/>
    </w:rPr>
  </w:style>
  <w:style w:type="numbering" w:customStyle="1" w:styleId="SMCListeberschriften">
    <w:name w:val="SMC_ListeÜberschriften"/>
    <w:basedOn w:val="KeineListe"/>
    <w:uiPriority w:val="99"/>
    <w:rsid w:val="00966A6A"/>
    <w:pPr>
      <w:numPr>
        <w:numId w:val="2"/>
      </w:numPr>
    </w:pPr>
  </w:style>
  <w:style w:type="character" w:customStyle="1" w:styleId="berschrift6Zchn">
    <w:name w:val="Überschrift 6 Zchn"/>
    <w:basedOn w:val="Absatz-Standardschriftart"/>
    <w:link w:val="berschrift6"/>
    <w:uiPriority w:val="9"/>
    <w:semiHidden/>
    <w:rsid w:val="00F6791B"/>
    <w:rPr>
      <w:rFonts w:asciiTheme="majorHAnsi" w:eastAsiaTheme="majorEastAsia" w:hAnsiTheme="majorHAnsi" w:cstheme="majorBidi"/>
      <w:color w:val="152F54" w:themeColor="accent1" w:themeShade="7F"/>
    </w:rPr>
  </w:style>
  <w:style w:type="paragraph" w:customStyle="1" w:styleId="SMCberschrift1ohneInhaltsverzeichnis">
    <w:name w:val="SMC_Überschrift 1_ohne_Inhaltsverzeichnis"/>
    <w:basedOn w:val="Standard"/>
    <w:uiPriority w:val="6"/>
    <w:rsid w:val="00C9397B"/>
    <w:pPr>
      <w:keepNext/>
      <w:keepLines/>
      <w:spacing w:before="360" w:after="240" w:line="340" w:lineRule="atLeast"/>
    </w:pPr>
    <w:rPr>
      <w:color w:val="2A60AA" w:themeColor="accent1"/>
      <w:sz w:val="28"/>
      <w:szCs w:val="19"/>
    </w:rPr>
  </w:style>
  <w:style w:type="paragraph" w:customStyle="1" w:styleId="SMCTabelleberschrift">
    <w:name w:val="SMC_Tabelle_Überschrift"/>
    <w:basedOn w:val="Standard"/>
    <w:uiPriority w:val="99"/>
    <w:semiHidden/>
    <w:rsid w:val="00F6791B"/>
    <w:pPr>
      <w:shd w:val="clear" w:color="auto" w:fill="2690C1" w:themeFill="accent2"/>
      <w:spacing w:after="0" w:line="280" w:lineRule="exact"/>
    </w:pPr>
    <w:rPr>
      <w:b/>
      <w:color w:val="FFFFFF" w:themeColor="background1"/>
      <w:sz w:val="19"/>
      <w:szCs w:val="19"/>
    </w:rPr>
  </w:style>
  <w:style w:type="paragraph" w:customStyle="1" w:styleId="SMCStandardTabelle">
    <w:name w:val="SMC_Standard_Tabelle"/>
    <w:uiPriority w:val="9"/>
    <w:rsid w:val="00B32320"/>
    <w:pPr>
      <w:spacing w:after="260" w:line="260" w:lineRule="atLeast"/>
      <w:ind w:left="113" w:right="113"/>
    </w:pPr>
    <w:rPr>
      <w:szCs w:val="19"/>
    </w:rPr>
  </w:style>
  <w:style w:type="paragraph" w:customStyle="1" w:styleId="SMCStandardTabelleHeadline">
    <w:name w:val="SMC_Standard_Tabelle_Headline"/>
    <w:basedOn w:val="SMCStandardTabelle"/>
    <w:next w:val="SMCStandardTabelle"/>
    <w:uiPriority w:val="8"/>
    <w:rsid w:val="00F6791B"/>
    <w:pPr>
      <w:spacing w:after="0"/>
    </w:pPr>
    <w:rPr>
      <w:b/>
      <w:sz w:val="22"/>
    </w:rPr>
  </w:style>
  <w:style w:type="paragraph" w:customStyle="1" w:styleId="SMCZwischentitel">
    <w:name w:val="SMC_Zwischentitel"/>
    <w:basedOn w:val="Standard"/>
    <w:next w:val="Standard"/>
    <w:uiPriority w:val="6"/>
    <w:rsid w:val="005C7C62"/>
    <w:pPr>
      <w:keepLines/>
      <w:spacing w:before="360" w:after="120"/>
    </w:pPr>
    <w:rPr>
      <w:rFonts w:asciiTheme="majorHAnsi" w:eastAsiaTheme="majorEastAsia" w:hAnsiTheme="majorHAnsi" w:cstheme="majorBidi"/>
      <w:b/>
      <w:szCs w:val="32"/>
    </w:rPr>
  </w:style>
  <w:style w:type="paragraph" w:customStyle="1" w:styleId="SMCNummerierung1ALTE">
    <w:name w:val="SMC_Nummerierung 1 (ALT + E)"/>
    <w:basedOn w:val="Standard"/>
    <w:uiPriority w:val="2"/>
    <w:rsid w:val="00AA6891"/>
    <w:pPr>
      <w:numPr>
        <w:numId w:val="3"/>
      </w:numPr>
    </w:pPr>
    <w:rPr>
      <w:szCs w:val="19"/>
    </w:rPr>
  </w:style>
  <w:style w:type="numbering" w:customStyle="1" w:styleId="SMCListeNummerierungen">
    <w:name w:val="SMC_ListeNummerierungen"/>
    <w:basedOn w:val="KeineListe"/>
    <w:uiPriority w:val="99"/>
    <w:rsid w:val="00AA6891"/>
    <w:pPr>
      <w:numPr>
        <w:numId w:val="3"/>
      </w:numPr>
    </w:pPr>
  </w:style>
  <w:style w:type="paragraph" w:customStyle="1" w:styleId="SMCNummerierungHeadline">
    <w:name w:val="SMC_Nummerierung_Headline"/>
    <w:basedOn w:val="SMCAufzhlung1ALTQ"/>
    <w:next w:val="SMCNummerierung1ALTE"/>
    <w:uiPriority w:val="99"/>
    <w:semiHidden/>
    <w:rsid w:val="007A06D2"/>
    <w:pPr>
      <w:numPr>
        <w:numId w:val="0"/>
      </w:numPr>
      <w:spacing w:after="130" w:line="300" w:lineRule="atLeast"/>
    </w:pPr>
    <w:rPr>
      <w:sz w:val="22"/>
    </w:rPr>
  </w:style>
  <w:style w:type="paragraph" w:customStyle="1" w:styleId="SMCNummerierung2ALTZ">
    <w:name w:val="SMC_Nummerierung 2 (ALT + Z)"/>
    <w:basedOn w:val="Standard"/>
    <w:uiPriority w:val="2"/>
    <w:rsid w:val="00AA6891"/>
    <w:pPr>
      <w:numPr>
        <w:ilvl w:val="1"/>
        <w:numId w:val="3"/>
      </w:numPr>
    </w:pPr>
  </w:style>
  <w:style w:type="paragraph" w:customStyle="1" w:styleId="SMCNummerierung3">
    <w:name w:val="SMC_Nummerierung 3"/>
    <w:basedOn w:val="Standard"/>
    <w:uiPriority w:val="2"/>
    <w:rsid w:val="00AA6891"/>
    <w:pPr>
      <w:numPr>
        <w:ilvl w:val="2"/>
        <w:numId w:val="3"/>
      </w:numPr>
    </w:pPr>
  </w:style>
  <w:style w:type="paragraph" w:customStyle="1" w:styleId="SMCEinzugNum1">
    <w:name w:val="SMC_Einzug Num 1"/>
    <w:basedOn w:val="Standard"/>
    <w:uiPriority w:val="3"/>
    <w:rsid w:val="00A443F8"/>
    <w:pPr>
      <w:numPr>
        <w:numId w:val="9"/>
      </w:numPr>
    </w:pPr>
  </w:style>
  <w:style w:type="paragraph" w:customStyle="1" w:styleId="SMCEinzugNum2">
    <w:name w:val="SMC_Einzug Num 2"/>
    <w:basedOn w:val="Standard"/>
    <w:uiPriority w:val="3"/>
    <w:rsid w:val="00A443F8"/>
    <w:pPr>
      <w:numPr>
        <w:ilvl w:val="1"/>
        <w:numId w:val="9"/>
      </w:numPr>
    </w:pPr>
  </w:style>
  <w:style w:type="paragraph" w:customStyle="1" w:styleId="SMCEinzugNum3">
    <w:name w:val="SMC_Einzug Num 3"/>
    <w:basedOn w:val="Standard"/>
    <w:uiPriority w:val="3"/>
    <w:rsid w:val="00A443F8"/>
    <w:pPr>
      <w:numPr>
        <w:ilvl w:val="2"/>
        <w:numId w:val="9"/>
      </w:numPr>
    </w:pPr>
  </w:style>
  <w:style w:type="numbering" w:customStyle="1" w:styleId="SMCListeEinzgeNummerierungen">
    <w:name w:val="SMC_ListeEinzügeNummerierungen"/>
    <w:basedOn w:val="KeineListe"/>
    <w:uiPriority w:val="99"/>
    <w:rsid w:val="00A443F8"/>
    <w:pPr>
      <w:numPr>
        <w:numId w:val="9"/>
      </w:numPr>
    </w:pPr>
  </w:style>
  <w:style w:type="character" w:customStyle="1" w:styleId="SMCKursiv">
    <w:name w:val="SMC_Kursiv"/>
    <w:basedOn w:val="Absatz-Standardschriftart"/>
    <w:uiPriority w:val="1"/>
    <w:qFormat/>
    <w:rsid w:val="00A443F8"/>
    <w:rPr>
      <w:i/>
    </w:rPr>
  </w:style>
  <w:style w:type="character" w:customStyle="1" w:styleId="SMCFettKursiv">
    <w:name w:val="SMC_Fett + Kursiv"/>
    <w:basedOn w:val="Absatz-Standardschriftart"/>
    <w:uiPriority w:val="1"/>
    <w:qFormat/>
    <w:rsid w:val="00DF09FB"/>
    <w:rPr>
      <w:b/>
      <w:i/>
    </w:rPr>
  </w:style>
  <w:style w:type="numbering" w:customStyle="1" w:styleId="SMCListeBullets">
    <w:name w:val="SMC_ListeBullets"/>
    <w:basedOn w:val="KeineListe"/>
    <w:uiPriority w:val="99"/>
    <w:rsid w:val="00A443F8"/>
    <w:pPr>
      <w:numPr>
        <w:numId w:val="7"/>
      </w:numPr>
    </w:pPr>
  </w:style>
  <w:style w:type="numbering" w:customStyle="1" w:styleId="SMCListeStatement">
    <w:name w:val="SMC_Liste Statement"/>
    <w:basedOn w:val="KeineListe"/>
    <w:uiPriority w:val="99"/>
    <w:rsid w:val="00087D09"/>
    <w:pPr>
      <w:numPr>
        <w:numId w:val="4"/>
      </w:numPr>
    </w:pPr>
  </w:style>
  <w:style w:type="paragraph" w:customStyle="1" w:styleId="SMCKastenblauAltK">
    <w:name w:val="SMC_Kasten_blau (Alt + K)"/>
    <w:basedOn w:val="Standard"/>
    <w:uiPriority w:val="44"/>
    <w:rsid w:val="00A443F8"/>
    <w:pPr>
      <w:pBdr>
        <w:top w:val="single" w:sz="4" w:space="13" w:color="2A60AA" w:themeColor="accent1"/>
        <w:left w:val="single" w:sz="4" w:space="13" w:color="2A60AA" w:themeColor="accent1"/>
        <w:bottom w:val="single" w:sz="4" w:space="13" w:color="2A60AA" w:themeColor="accent1"/>
        <w:right w:val="single" w:sz="4" w:space="13" w:color="2A60AA" w:themeColor="accent1"/>
      </w:pBdr>
      <w:shd w:val="clear" w:color="auto" w:fill="2A60AA" w:themeFill="accent1"/>
      <w:spacing w:line="264" w:lineRule="auto"/>
      <w:ind w:left="284" w:right="284"/>
    </w:pPr>
    <w:rPr>
      <w:color w:val="FFFFFF" w:themeColor="background1"/>
    </w:rPr>
  </w:style>
  <w:style w:type="paragraph" w:customStyle="1" w:styleId="SMCKastenblauAufzhlung1">
    <w:name w:val="SMC_Kasten_blau_Aufzählung 1"/>
    <w:basedOn w:val="SMCKastenblauAltK"/>
    <w:uiPriority w:val="44"/>
    <w:rsid w:val="00A443F8"/>
    <w:pPr>
      <w:numPr>
        <w:numId w:val="10"/>
      </w:numPr>
    </w:pPr>
  </w:style>
  <w:style w:type="paragraph" w:customStyle="1" w:styleId="SMCKastenblauAufzhlung2">
    <w:name w:val="SMC_Kasten_blau_Aufzählung 2"/>
    <w:basedOn w:val="SMCKastenblauAltK"/>
    <w:uiPriority w:val="44"/>
    <w:semiHidden/>
    <w:rsid w:val="00A443F8"/>
    <w:pPr>
      <w:numPr>
        <w:ilvl w:val="1"/>
        <w:numId w:val="5"/>
      </w:numPr>
    </w:pPr>
  </w:style>
  <w:style w:type="paragraph" w:customStyle="1" w:styleId="SMCKastenblauAufzhlung3">
    <w:name w:val="SMC_Kasten_blau_Aufzählung 3"/>
    <w:basedOn w:val="SMCKastenblauAufzhlung1"/>
    <w:uiPriority w:val="44"/>
    <w:semiHidden/>
    <w:rsid w:val="00A443F8"/>
    <w:pPr>
      <w:numPr>
        <w:ilvl w:val="2"/>
      </w:numPr>
    </w:pPr>
  </w:style>
  <w:style w:type="paragraph" w:customStyle="1" w:styleId="SMCKastenblauStatement">
    <w:name w:val="SMC_Kasten_blau_Statement"/>
    <w:basedOn w:val="SMCKastenblauAufzhlung3"/>
    <w:uiPriority w:val="44"/>
    <w:rsid w:val="00A443F8"/>
    <w:pPr>
      <w:numPr>
        <w:ilvl w:val="1"/>
      </w:numPr>
      <w:spacing w:line="300" w:lineRule="atLeast"/>
    </w:pPr>
    <w:rPr>
      <w:sz w:val="22"/>
    </w:rPr>
  </w:style>
  <w:style w:type="paragraph" w:customStyle="1" w:styleId="SMCKastenblauberschrift1">
    <w:name w:val="SMC_Kasten_blau_Überschrift 1"/>
    <w:basedOn w:val="SMCKastenblauAltK"/>
    <w:next w:val="SMCKastenblauAltK"/>
    <w:uiPriority w:val="9"/>
    <w:semiHidden/>
    <w:rsid w:val="00A443F8"/>
    <w:rPr>
      <w:rFonts w:asciiTheme="majorHAnsi" w:hAnsiTheme="majorHAnsi"/>
      <w:sz w:val="22"/>
    </w:rPr>
  </w:style>
  <w:style w:type="paragraph" w:customStyle="1" w:styleId="SMCKastenblauberschrift2">
    <w:name w:val="SMC_Kasten_blau_Überschrift 2"/>
    <w:basedOn w:val="SMCKastenblauAltK"/>
    <w:uiPriority w:val="9"/>
    <w:semiHidden/>
    <w:rsid w:val="00A443F8"/>
    <w:pPr>
      <w:spacing w:after="0"/>
    </w:pPr>
    <w:rPr>
      <w:rFonts w:ascii="Akko Pro Medium" w:hAnsi="Akko Pro Medium"/>
    </w:rPr>
  </w:style>
  <w:style w:type="paragraph" w:customStyle="1" w:styleId="SMCKastengrau">
    <w:name w:val="SMC_Kasten_grau"/>
    <w:basedOn w:val="Standard"/>
    <w:uiPriority w:val="45"/>
    <w:rsid w:val="00A443F8"/>
    <w:pPr>
      <w:pBdr>
        <w:top w:val="single" w:sz="4" w:space="13" w:color="A6A6A6" w:themeColor="accent6"/>
        <w:left w:val="single" w:sz="4" w:space="13" w:color="A6A6A6" w:themeColor="accent6"/>
        <w:bottom w:val="single" w:sz="4" w:space="13" w:color="A6A6A6" w:themeColor="accent6"/>
        <w:right w:val="single" w:sz="4" w:space="13" w:color="A6A6A6" w:themeColor="accent6"/>
      </w:pBdr>
      <w:shd w:val="clear" w:color="auto" w:fill="A6A6A6" w:themeFill="accent6"/>
      <w:spacing w:line="264" w:lineRule="auto"/>
      <w:ind w:left="284" w:right="284"/>
    </w:pPr>
    <w:rPr>
      <w:color w:val="FFFFFF" w:themeColor="background1"/>
    </w:rPr>
  </w:style>
  <w:style w:type="paragraph" w:customStyle="1" w:styleId="SMCKastengrauAufzhlung1">
    <w:name w:val="SMC_Kasten_grau_Aufzählung 1"/>
    <w:basedOn w:val="SMCKastengrau"/>
    <w:next w:val="Standard"/>
    <w:uiPriority w:val="45"/>
    <w:rsid w:val="00A443F8"/>
    <w:pPr>
      <w:numPr>
        <w:numId w:val="11"/>
      </w:numPr>
    </w:pPr>
  </w:style>
  <w:style w:type="paragraph" w:customStyle="1" w:styleId="SMCKastengrauAufzhlung2">
    <w:name w:val="SMC_Kasten_grau_Aufzählung 2"/>
    <w:basedOn w:val="SMCKastengrau"/>
    <w:uiPriority w:val="45"/>
    <w:semiHidden/>
    <w:rsid w:val="00A443F8"/>
    <w:pPr>
      <w:numPr>
        <w:ilvl w:val="1"/>
        <w:numId w:val="6"/>
      </w:numPr>
    </w:pPr>
  </w:style>
  <w:style w:type="paragraph" w:customStyle="1" w:styleId="SMCKastengrauAufzhlung3">
    <w:name w:val="SMC_Kasten_grau_Aufzählung 3"/>
    <w:basedOn w:val="SMCKastengrauAufzhlung1"/>
    <w:uiPriority w:val="45"/>
    <w:semiHidden/>
    <w:rsid w:val="00A443F8"/>
    <w:pPr>
      <w:numPr>
        <w:ilvl w:val="2"/>
      </w:numPr>
    </w:pPr>
  </w:style>
  <w:style w:type="paragraph" w:customStyle="1" w:styleId="SMCKastengrauStatement">
    <w:name w:val="SMC_Kasten_grau_Statement"/>
    <w:basedOn w:val="SMCKastengrauAufzhlung3"/>
    <w:uiPriority w:val="45"/>
    <w:rsid w:val="00A443F8"/>
    <w:pPr>
      <w:numPr>
        <w:ilvl w:val="1"/>
      </w:numPr>
      <w:spacing w:line="300" w:lineRule="atLeast"/>
    </w:pPr>
    <w:rPr>
      <w:sz w:val="22"/>
    </w:rPr>
  </w:style>
  <w:style w:type="paragraph" w:customStyle="1" w:styleId="SMCKastengrauberschrift1">
    <w:name w:val="SMC_Kasten_grau_Überschrift 1"/>
    <w:basedOn w:val="Standard"/>
    <w:next w:val="SMCKastengrau"/>
    <w:uiPriority w:val="9"/>
    <w:semiHidden/>
    <w:rsid w:val="00A443F8"/>
    <w:pPr>
      <w:pBdr>
        <w:top w:val="single" w:sz="4" w:space="13" w:color="D9D9D9" w:themeColor="background1" w:themeShade="D9"/>
        <w:left w:val="single" w:sz="4" w:space="13" w:color="D9D9D9" w:themeColor="background1" w:themeShade="D9"/>
        <w:bottom w:val="single" w:sz="4" w:space="13" w:color="D9D9D9" w:themeColor="background1" w:themeShade="D9"/>
        <w:right w:val="single" w:sz="4" w:space="13" w:color="D9D9D9" w:themeColor="background1" w:themeShade="D9"/>
      </w:pBdr>
      <w:shd w:val="clear" w:color="auto" w:fill="D6CFBD"/>
      <w:ind w:left="284" w:right="284"/>
    </w:pPr>
    <w:rPr>
      <w:rFonts w:asciiTheme="majorHAnsi" w:hAnsiTheme="majorHAnsi"/>
      <w:color w:val="2A60AA" w:themeColor="accent1"/>
      <w:sz w:val="22"/>
    </w:rPr>
  </w:style>
  <w:style w:type="paragraph" w:customStyle="1" w:styleId="SMCKastengrauberschrift2">
    <w:name w:val="SMC_Kasten_grau_Überschrift 2"/>
    <w:basedOn w:val="SMCKastengrau"/>
    <w:next w:val="SMCKastengrau"/>
    <w:uiPriority w:val="9"/>
    <w:semiHidden/>
    <w:rsid w:val="00A443F8"/>
    <w:pPr>
      <w:spacing w:after="0"/>
    </w:pPr>
    <w:rPr>
      <w:rFonts w:ascii="Akko Pro Medium" w:hAnsi="Akko Pro Medium"/>
      <w:color w:val="2690C1" w:themeColor="accent2"/>
    </w:rPr>
  </w:style>
  <w:style w:type="paragraph" w:customStyle="1" w:styleId="SMCStatementALTP">
    <w:name w:val="SMC_Statement (ALT + P)"/>
    <w:basedOn w:val="Standard"/>
    <w:next w:val="Standard"/>
    <w:uiPriority w:val="34"/>
    <w:rsid w:val="00EF1852"/>
    <w:pPr>
      <w:numPr>
        <w:numId w:val="4"/>
      </w:numPr>
      <w:spacing w:line="300" w:lineRule="atLeast"/>
    </w:pPr>
    <w:rPr>
      <w:color w:val="2A60AA" w:themeColor="accent1"/>
      <w:sz w:val="22"/>
    </w:rPr>
  </w:style>
  <w:style w:type="paragraph" w:styleId="Titel">
    <w:name w:val="Title"/>
    <w:aliases w:val="SMC_Titel (ALT + T)"/>
    <w:next w:val="Standard"/>
    <w:link w:val="TitelZchn"/>
    <w:uiPriority w:val="10"/>
    <w:rsid w:val="00454B3E"/>
    <w:pPr>
      <w:pBdr>
        <w:bottom w:val="single" w:sz="8" w:space="4" w:color="A6A6A6" w:themeColor="background2"/>
      </w:pBdr>
      <w:spacing w:after="360" w:line="240" w:lineRule="auto"/>
      <w:contextualSpacing/>
    </w:pPr>
    <w:rPr>
      <w:rFonts w:asciiTheme="majorHAnsi" w:eastAsiaTheme="majorEastAsia" w:hAnsiTheme="majorHAnsi" w:cstheme="majorBidi"/>
      <w:b/>
      <w:color w:val="2A60AA" w:themeColor="accent1"/>
      <w:spacing w:val="5"/>
      <w:kern w:val="28"/>
      <w:sz w:val="40"/>
      <w:szCs w:val="52"/>
    </w:rPr>
  </w:style>
  <w:style w:type="character" w:customStyle="1" w:styleId="TitelZchn">
    <w:name w:val="Titel Zchn"/>
    <w:aliases w:val="SMC_Titel (ALT + T) Zchn"/>
    <w:basedOn w:val="Absatz-Standardschriftart"/>
    <w:link w:val="Titel"/>
    <w:uiPriority w:val="10"/>
    <w:rsid w:val="00454B3E"/>
    <w:rPr>
      <w:rFonts w:asciiTheme="majorHAnsi" w:eastAsiaTheme="majorEastAsia" w:hAnsiTheme="majorHAnsi" w:cstheme="majorBidi"/>
      <w:b/>
      <w:color w:val="2A60AA" w:themeColor="accent1"/>
      <w:spacing w:val="5"/>
      <w:kern w:val="28"/>
      <w:sz w:val="40"/>
      <w:szCs w:val="52"/>
    </w:rPr>
  </w:style>
  <w:style w:type="numbering" w:customStyle="1" w:styleId="SMCListeKasten">
    <w:name w:val="SMC_ListeKasten"/>
    <w:basedOn w:val="KeineListe"/>
    <w:uiPriority w:val="99"/>
    <w:rsid w:val="00A443F8"/>
    <w:pPr>
      <w:numPr>
        <w:numId w:val="10"/>
      </w:numPr>
    </w:pPr>
  </w:style>
  <w:style w:type="character" w:customStyle="1" w:styleId="SMCBlauALTB">
    <w:name w:val="SMC_Blau (ALT + B)"/>
    <w:basedOn w:val="Absatz-Standardschriftart"/>
    <w:uiPriority w:val="1"/>
    <w:qFormat/>
    <w:rsid w:val="005A2FCF"/>
    <w:rPr>
      <w:color w:val="2A60AA" w:themeColor="accent1"/>
    </w:rPr>
  </w:style>
  <w:style w:type="table" w:customStyle="1" w:styleId="Gitternetztabelle5dunkelAkzent11">
    <w:name w:val="Gitternetztabelle 5 dunkel  – Akzent 11"/>
    <w:basedOn w:val="NormaleTabelle"/>
    <w:uiPriority w:val="50"/>
    <w:rsid w:val="00AC3E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E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60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60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60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60AA" w:themeFill="accent1"/>
      </w:tcPr>
    </w:tblStylePr>
    <w:tblStylePr w:type="band1Vert">
      <w:tblPr/>
      <w:tcPr>
        <w:shd w:val="clear" w:color="auto" w:fill="9FBDE7" w:themeFill="accent1" w:themeFillTint="66"/>
      </w:tcPr>
    </w:tblStylePr>
    <w:tblStylePr w:type="band1Horz">
      <w:tblPr/>
      <w:tcPr>
        <w:shd w:val="clear" w:color="auto" w:fill="9FBDE7" w:themeFill="accent1" w:themeFillTint="66"/>
      </w:tcPr>
    </w:tblStylePr>
  </w:style>
  <w:style w:type="numbering" w:customStyle="1" w:styleId="SMCListeKastengrau">
    <w:name w:val="SMC_ListeKasten_grau"/>
    <w:basedOn w:val="KeineListe"/>
    <w:uiPriority w:val="99"/>
    <w:rsid w:val="00A443F8"/>
    <w:pPr>
      <w:numPr>
        <w:numId w:val="11"/>
      </w:numPr>
    </w:pPr>
  </w:style>
  <w:style w:type="paragraph" w:customStyle="1" w:styleId="SMCTemplate">
    <w:name w:val="SMC_Template"/>
    <w:basedOn w:val="Standard"/>
    <w:qFormat/>
    <w:rsid w:val="00C01362"/>
    <w:pPr>
      <w:spacing w:before="360" w:after="480"/>
    </w:pPr>
    <w:rPr>
      <w:b/>
      <w:color w:val="2A60AA" w:themeColor="accent1"/>
      <w:sz w:val="52"/>
    </w:rPr>
  </w:style>
  <w:style w:type="paragraph" w:customStyle="1" w:styleId="SMCTemplateUntertitel">
    <w:name w:val="SMC_Template Untertitel"/>
    <w:basedOn w:val="Standard"/>
    <w:next w:val="Standard"/>
    <w:rsid w:val="00C01362"/>
    <w:pPr>
      <w:spacing w:after="480"/>
    </w:pPr>
    <w:rPr>
      <w:color w:val="2A60AA" w:themeColor="accent1"/>
      <w:sz w:val="40"/>
    </w:rPr>
  </w:style>
  <w:style w:type="paragraph" w:customStyle="1" w:styleId="SMCUnsichtbar">
    <w:name w:val="SMC_Unsichtbar"/>
    <w:basedOn w:val="Standard"/>
    <w:rsid w:val="00D73044"/>
    <w:pPr>
      <w:spacing w:after="0" w:line="240" w:lineRule="auto"/>
    </w:pPr>
    <w:rPr>
      <w:color w:val="FFFFFF" w:themeColor="background1"/>
      <w:sz w:val="2"/>
    </w:rPr>
  </w:style>
  <w:style w:type="character" w:styleId="Platzhaltertext">
    <w:name w:val="Placeholder Text"/>
    <w:basedOn w:val="Absatz-Standardschriftart"/>
    <w:uiPriority w:val="99"/>
    <w:semiHidden/>
    <w:rsid w:val="00337ADD"/>
    <w:rPr>
      <w:color w:val="808080"/>
    </w:rPr>
  </w:style>
  <w:style w:type="table" w:customStyle="1" w:styleId="Gitternetztabelle6farbigAkzent31">
    <w:name w:val="Gitternetztabelle 6 farbig – Akzent 31"/>
    <w:basedOn w:val="NormaleTabelle"/>
    <w:uiPriority w:val="51"/>
    <w:rsid w:val="00ED7FCD"/>
    <w:pPr>
      <w:spacing w:after="0" w:line="240" w:lineRule="auto"/>
    </w:pPr>
    <w:rPr>
      <w:color w:val="1B8288" w:themeColor="accent3" w:themeShade="BF"/>
    </w:rPr>
    <w:tblPr>
      <w:tblStyleRowBandSize w:val="1"/>
      <w:tblStyleColBandSize w:val="1"/>
      <w:tblBorders>
        <w:top w:val="single" w:sz="4" w:space="0" w:color="6DDBE2" w:themeColor="accent3" w:themeTint="99"/>
        <w:left w:val="single" w:sz="4" w:space="0" w:color="6DDBE2" w:themeColor="accent3" w:themeTint="99"/>
        <w:bottom w:val="single" w:sz="4" w:space="0" w:color="6DDBE2" w:themeColor="accent3" w:themeTint="99"/>
        <w:right w:val="single" w:sz="4" w:space="0" w:color="6DDBE2" w:themeColor="accent3" w:themeTint="99"/>
        <w:insideH w:val="single" w:sz="4" w:space="0" w:color="6DDBE2" w:themeColor="accent3" w:themeTint="99"/>
        <w:insideV w:val="single" w:sz="4" w:space="0" w:color="6DDBE2" w:themeColor="accent3" w:themeTint="99"/>
      </w:tblBorders>
    </w:tblPr>
    <w:tblStylePr w:type="firstRow">
      <w:rPr>
        <w:b/>
        <w:bCs/>
      </w:rPr>
      <w:tblPr/>
      <w:tcPr>
        <w:tcBorders>
          <w:bottom w:val="single" w:sz="12" w:space="0" w:color="6DDBE2" w:themeColor="accent3" w:themeTint="99"/>
        </w:tcBorders>
      </w:tcPr>
    </w:tblStylePr>
    <w:tblStylePr w:type="lastRow">
      <w:rPr>
        <w:b/>
        <w:bCs/>
      </w:rPr>
      <w:tblPr/>
      <w:tcPr>
        <w:tcBorders>
          <w:top w:val="double" w:sz="4" w:space="0" w:color="6DDBE2" w:themeColor="accent3" w:themeTint="99"/>
        </w:tcBorders>
      </w:tcPr>
    </w:tblStylePr>
    <w:tblStylePr w:type="firstCol">
      <w:rPr>
        <w:b/>
        <w:bCs/>
      </w:rPr>
    </w:tblStylePr>
    <w:tblStylePr w:type="lastCol">
      <w:rPr>
        <w:b/>
        <w:bCs/>
      </w:rPr>
    </w:tblStylePr>
    <w:tblStylePr w:type="band1Vert">
      <w:tblPr/>
      <w:tcPr>
        <w:shd w:val="clear" w:color="auto" w:fill="CEF3F5" w:themeFill="accent3" w:themeFillTint="33"/>
      </w:tcPr>
    </w:tblStylePr>
    <w:tblStylePr w:type="band1Horz">
      <w:tblPr/>
      <w:tcPr>
        <w:shd w:val="clear" w:color="auto" w:fill="CEF3F5" w:themeFill="accent3" w:themeFillTint="33"/>
      </w:tcPr>
    </w:tblStylePr>
  </w:style>
  <w:style w:type="table" w:customStyle="1" w:styleId="SMCTabellenKopf">
    <w:name w:val="SMC_Tabellen_Kopf"/>
    <w:basedOn w:val="SMCTabelle-ohne-Rahmen"/>
    <w:uiPriority w:val="99"/>
    <w:rsid w:val="00AC4609"/>
    <w:pPr>
      <w:ind w:left="170" w:right="170"/>
    </w:pPr>
    <w:tblPr>
      <w:tblBorders>
        <w:top w:val="single" w:sz="48" w:space="0" w:color="2A60AA" w:themeColor="accent1"/>
        <w:left w:val="single" w:sz="48" w:space="0" w:color="2A60AA" w:themeColor="accent1"/>
        <w:bottom w:val="single" w:sz="48" w:space="0" w:color="2A60AA" w:themeColor="accent1"/>
        <w:right w:val="single" w:sz="48" w:space="0" w:color="2A60AA" w:themeColor="accent1"/>
      </w:tblBorders>
      <w:tblCellMar>
        <w:top w:w="170" w:type="dxa"/>
        <w:left w:w="170" w:type="dxa"/>
        <w:bottom w:w="170" w:type="dxa"/>
        <w:right w:w="170" w:type="dxa"/>
      </w:tblCellMar>
    </w:tblPr>
  </w:style>
  <w:style w:type="paragraph" w:customStyle="1" w:styleId="SMCBriefVerkaufsbro">
    <w:name w:val="SMC_Brief_Verkaufsbüro"/>
    <w:basedOn w:val="Standard"/>
    <w:qFormat/>
    <w:rsid w:val="007D57F9"/>
    <w:pPr>
      <w:spacing w:after="0" w:line="240" w:lineRule="auto"/>
      <w:ind w:right="113"/>
    </w:pPr>
    <w:rPr>
      <w:b/>
      <w:sz w:val="18"/>
    </w:rPr>
  </w:style>
  <w:style w:type="paragraph" w:customStyle="1" w:styleId="SMCBriefFenster">
    <w:name w:val="SMC_Brief_Fenster"/>
    <w:basedOn w:val="Standard"/>
    <w:qFormat/>
    <w:rsid w:val="007D57F9"/>
    <w:pPr>
      <w:spacing w:after="0" w:line="0" w:lineRule="atLeast"/>
      <w:ind w:right="113"/>
    </w:pPr>
    <w:rPr>
      <w:sz w:val="14"/>
    </w:rPr>
  </w:style>
  <w:style w:type="paragraph" w:customStyle="1" w:styleId="SMCBriefAnsprechpartner">
    <w:name w:val="SMC_Brief_Ansprechpartner"/>
    <w:basedOn w:val="SMCBriefVerkaufsbro"/>
    <w:qFormat/>
    <w:rsid w:val="00631C0B"/>
    <w:pPr>
      <w:spacing w:before="60" w:after="60"/>
    </w:pPr>
    <w:rPr>
      <w:b w:val="0"/>
    </w:rPr>
  </w:style>
  <w:style w:type="paragraph" w:customStyle="1" w:styleId="SMCBriefAdresse">
    <w:name w:val="SMC_Brief_Adresse"/>
    <w:basedOn w:val="Standard"/>
    <w:qFormat/>
    <w:rsid w:val="00521F23"/>
    <w:pPr>
      <w:spacing w:after="40" w:line="240" w:lineRule="auto"/>
    </w:pPr>
  </w:style>
  <w:style w:type="paragraph" w:styleId="Sprechblasentext">
    <w:name w:val="Balloon Text"/>
    <w:basedOn w:val="Standard"/>
    <w:link w:val="SprechblasentextZchn"/>
    <w:uiPriority w:val="99"/>
    <w:semiHidden/>
    <w:unhideWhenUsed/>
    <w:rsid w:val="009003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00344"/>
    <w:rPr>
      <w:rFonts w:ascii="Segoe UI" w:hAnsi="Segoe UI" w:cs="Segoe UI"/>
      <w:sz w:val="18"/>
      <w:szCs w:val="18"/>
    </w:rPr>
  </w:style>
  <w:style w:type="paragraph" w:customStyle="1" w:styleId="SMCBriefBetreff">
    <w:name w:val="SMC_Brief_Betreff"/>
    <w:basedOn w:val="Standard"/>
    <w:rsid w:val="00A648CB"/>
    <w:pPr>
      <w:spacing w:before="120" w:after="400"/>
      <w:ind w:right="113"/>
    </w:pPr>
    <w:rPr>
      <w:b/>
    </w:rPr>
  </w:style>
  <w:style w:type="paragraph" w:customStyle="1" w:styleId="SMCBriefSeitenzahl">
    <w:name w:val="SMC_Brief_Seitenzahl"/>
    <w:basedOn w:val="Fuzeile"/>
    <w:qFormat/>
    <w:rsid w:val="00BE6B50"/>
    <w:pPr>
      <w:tabs>
        <w:tab w:val="right" w:pos="9070"/>
      </w:tabs>
      <w:spacing w:after="360"/>
      <w:jc w:val="left"/>
    </w:pPr>
    <w:rPr>
      <w:noProof/>
    </w:rPr>
  </w:style>
  <w:style w:type="paragraph" w:customStyle="1" w:styleId="SMCBriefAnsprechpartnerName">
    <w:name w:val="SMC_Brief_Ansprechpartner_Name"/>
    <w:basedOn w:val="SMCBriefAnsprechpartner"/>
    <w:qFormat/>
    <w:rsid w:val="00E36930"/>
    <w:rPr>
      <w:b/>
      <w:color w:val="2A60AA" w:themeColor="accent1"/>
    </w:rPr>
  </w:style>
  <w:style w:type="paragraph" w:customStyle="1" w:styleId="SMCPressetext">
    <w:name w:val="SMC_Pressetext"/>
    <w:basedOn w:val="Standard"/>
    <w:rsid w:val="00525FD7"/>
    <w:pPr>
      <w:spacing w:line="360" w:lineRule="atLeast"/>
    </w:pPr>
  </w:style>
  <w:style w:type="paragraph" w:customStyle="1" w:styleId="Default">
    <w:name w:val="Default"/>
    <w:rsid w:val="005E052A"/>
    <w:pPr>
      <w:autoSpaceDE w:val="0"/>
      <w:autoSpaceDN w:val="0"/>
      <w:adjustRightInd w:val="0"/>
      <w:spacing w:after="0" w:line="240" w:lineRule="auto"/>
    </w:pPr>
    <w:rPr>
      <w:rFonts w:ascii="Myriad Pro" w:hAnsi="Myriad Pro" w:cs="Myriad Pro"/>
      <w:color w:val="000000"/>
      <w:sz w:val="24"/>
      <w:szCs w:val="24"/>
      <w:lang w:val="en-US"/>
    </w:rPr>
  </w:style>
  <w:style w:type="character" w:styleId="Kommentarzeichen">
    <w:name w:val="annotation reference"/>
    <w:basedOn w:val="Absatz-Standardschriftart"/>
    <w:uiPriority w:val="99"/>
    <w:semiHidden/>
    <w:rsid w:val="008D659E"/>
    <w:rPr>
      <w:sz w:val="16"/>
      <w:szCs w:val="16"/>
    </w:rPr>
  </w:style>
  <w:style w:type="paragraph" w:styleId="Kommentartext">
    <w:name w:val="annotation text"/>
    <w:basedOn w:val="Standard"/>
    <w:link w:val="KommentartextZchn"/>
    <w:uiPriority w:val="99"/>
    <w:semiHidden/>
    <w:rsid w:val="008D659E"/>
    <w:pPr>
      <w:spacing w:line="240" w:lineRule="auto"/>
    </w:pPr>
  </w:style>
  <w:style w:type="character" w:customStyle="1" w:styleId="KommentartextZchn">
    <w:name w:val="Kommentartext Zchn"/>
    <w:basedOn w:val="Absatz-Standardschriftart"/>
    <w:link w:val="Kommentartext"/>
    <w:uiPriority w:val="99"/>
    <w:semiHidden/>
    <w:rsid w:val="008D659E"/>
  </w:style>
  <w:style w:type="paragraph" w:styleId="Kommentarthema">
    <w:name w:val="annotation subject"/>
    <w:basedOn w:val="Kommentartext"/>
    <w:next w:val="Kommentartext"/>
    <w:link w:val="KommentarthemaZchn"/>
    <w:uiPriority w:val="99"/>
    <w:semiHidden/>
    <w:rsid w:val="008D659E"/>
    <w:rPr>
      <w:b/>
      <w:bCs/>
    </w:rPr>
  </w:style>
  <w:style w:type="character" w:customStyle="1" w:styleId="KommentarthemaZchn">
    <w:name w:val="Kommentarthema Zchn"/>
    <w:basedOn w:val="KommentartextZchn"/>
    <w:link w:val="Kommentarthema"/>
    <w:uiPriority w:val="99"/>
    <w:semiHidden/>
    <w:rsid w:val="008D659E"/>
    <w:rPr>
      <w:b/>
      <w:bCs/>
    </w:rPr>
  </w:style>
  <w:style w:type="paragraph" w:styleId="StandardWeb">
    <w:name w:val="Normal (Web)"/>
    <w:basedOn w:val="Standard"/>
    <w:uiPriority w:val="99"/>
    <w:semiHidden/>
    <w:rsid w:val="00A949C9"/>
    <w:rPr>
      <w:rFonts w:ascii="Courier" w:hAnsi="Courier"/>
      <w:sz w:val="24"/>
      <w:szCs w:val="24"/>
    </w:rPr>
  </w:style>
  <w:style w:type="paragraph" w:styleId="Listenabsatz">
    <w:name w:val="List Paragraph"/>
    <w:basedOn w:val="Standard"/>
    <w:uiPriority w:val="34"/>
    <w:semiHidden/>
    <w:qFormat/>
    <w:rsid w:val="00260026"/>
    <w:pPr>
      <w:ind w:left="720"/>
      <w:contextualSpacing/>
    </w:pPr>
  </w:style>
  <w:style w:type="paragraph" w:styleId="berarbeitung">
    <w:name w:val="Revision"/>
    <w:hidden/>
    <w:uiPriority w:val="99"/>
    <w:semiHidden/>
    <w:rsid w:val="00F411C3"/>
    <w:pPr>
      <w:spacing w:after="0" w:line="240" w:lineRule="auto"/>
    </w:pPr>
  </w:style>
  <w:style w:type="character" w:styleId="NichtaufgelsteErwhnung">
    <w:name w:val="Unresolved Mention"/>
    <w:basedOn w:val="Absatz-Standardschriftart"/>
    <w:uiPriority w:val="99"/>
    <w:semiHidden/>
    <w:unhideWhenUsed/>
    <w:rsid w:val="003B31C9"/>
    <w:rPr>
      <w:color w:val="605E5C"/>
      <w:shd w:val="clear" w:color="auto" w:fill="E1DFDD"/>
    </w:rPr>
  </w:style>
  <w:style w:type="character" w:styleId="BesuchterLink">
    <w:name w:val="FollowedHyperlink"/>
    <w:basedOn w:val="Absatz-Standardschriftart"/>
    <w:uiPriority w:val="99"/>
    <w:semiHidden/>
    <w:unhideWhenUsed/>
    <w:rsid w:val="000E6E1A"/>
    <w:rPr>
      <w:color w:val="48A1F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93635">
      <w:bodyDiv w:val="1"/>
      <w:marLeft w:val="0"/>
      <w:marRight w:val="0"/>
      <w:marTop w:val="0"/>
      <w:marBottom w:val="0"/>
      <w:divBdr>
        <w:top w:val="none" w:sz="0" w:space="0" w:color="auto"/>
        <w:left w:val="none" w:sz="0" w:space="0" w:color="auto"/>
        <w:bottom w:val="none" w:sz="0" w:space="0" w:color="auto"/>
        <w:right w:val="none" w:sz="0" w:space="0" w:color="auto"/>
      </w:divBdr>
    </w:div>
    <w:div w:id="194655981">
      <w:bodyDiv w:val="1"/>
      <w:marLeft w:val="0"/>
      <w:marRight w:val="0"/>
      <w:marTop w:val="0"/>
      <w:marBottom w:val="0"/>
      <w:divBdr>
        <w:top w:val="none" w:sz="0" w:space="0" w:color="auto"/>
        <w:left w:val="none" w:sz="0" w:space="0" w:color="auto"/>
        <w:bottom w:val="none" w:sz="0" w:space="0" w:color="auto"/>
        <w:right w:val="none" w:sz="0" w:space="0" w:color="auto"/>
      </w:divBdr>
    </w:div>
    <w:div w:id="205143425">
      <w:bodyDiv w:val="1"/>
      <w:marLeft w:val="0"/>
      <w:marRight w:val="0"/>
      <w:marTop w:val="0"/>
      <w:marBottom w:val="0"/>
      <w:divBdr>
        <w:top w:val="none" w:sz="0" w:space="0" w:color="auto"/>
        <w:left w:val="none" w:sz="0" w:space="0" w:color="auto"/>
        <w:bottom w:val="none" w:sz="0" w:space="0" w:color="auto"/>
        <w:right w:val="none" w:sz="0" w:space="0" w:color="auto"/>
      </w:divBdr>
    </w:div>
    <w:div w:id="221064263">
      <w:bodyDiv w:val="1"/>
      <w:marLeft w:val="0"/>
      <w:marRight w:val="0"/>
      <w:marTop w:val="0"/>
      <w:marBottom w:val="0"/>
      <w:divBdr>
        <w:top w:val="none" w:sz="0" w:space="0" w:color="auto"/>
        <w:left w:val="none" w:sz="0" w:space="0" w:color="auto"/>
        <w:bottom w:val="none" w:sz="0" w:space="0" w:color="auto"/>
        <w:right w:val="none" w:sz="0" w:space="0" w:color="auto"/>
      </w:divBdr>
    </w:div>
    <w:div w:id="448475345">
      <w:bodyDiv w:val="1"/>
      <w:marLeft w:val="0"/>
      <w:marRight w:val="0"/>
      <w:marTop w:val="0"/>
      <w:marBottom w:val="0"/>
      <w:divBdr>
        <w:top w:val="none" w:sz="0" w:space="0" w:color="auto"/>
        <w:left w:val="none" w:sz="0" w:space="0" w:color="auto"/>
        <w:bottom w:val="none" w:sz="0" w:space="0" w:color="auto"/>
        <w:right w:val="none" w:sz="0" w:space="0" w:color="auto"/>
      </w:divBdr>
    </w:div>
    <w:div w:id="453907492">
      <w:bodyDiv w:val="1"/>
      <w:marLeft w:val="0"/>
      <w:marRight w:val="0"/>
      <w:marTop w:val="0"/>
      <w:marBottom w:val="0"/>
      <w:divBdr>
        <w:top w:val="none" w:sz="0" w:space="0" w:color="auto"/>
        <w:left w:val="none" w:sz="0" w:space="0" w:color="auto"/>
        <w:bottom w:val="none" w:sz="0" w:space="0" w:color="auto"/>
        <w:right w:val="none" w:sz="0" w:space="0" w:color="auto"/>
      </w:divBdr>
    </w:div>
    <w:div w:id="456489224">
      <w:bodyDiv w:val="1"/>
      <w:marLeft w:val="0"/>
      <w:marRight w:val="0"/>
      <w:marTop w:val="0"/>
      <w:marBottom w:val="0"/>
      <w:divBdr>
        <w:top w:val="none" w:sz="0" w:space="0" w:color="auto"/>
        <w:left w:val="none" w:sz="0" w:space="0" w:color="auto"/>
        <w:bottom w:val="none" w:sz="0" w:space="0" w:color="auto"/>
        <w:right w:val="none" w:sz="0" w:space="0" w:color="auto"/>
      </w:divBdr>
    </w:div>
    <w:div w:id="469590533">
      <w:bodyDiv w:val="1"/>
      <w:marLeft w:val="0"/>
      <w:marRight w:val="0"/>
      <w:marTop w:val="0"/>
      <w:marBottom w:val="0"/>
      <w:divBdr>
        <w:top w:val="none" w:sz="0" w:space="0" w:color="auto"/>
        <w:left w:val="none" w:sz="0" w:space="0" w:color="auto"/>
        <w:bottom w:val="none" w:sz="0" w:space="0" w:color="auto"/>
        <w:right w:val="none" w:sz="0" w:space="0" w:color="auto"/>
      </w:divBdr>
    </w:div>
    <w:div w:id="656225389">
      <w:bodyDiv w:val="1"/>
      <w:marLeft w:val="0"/>
      <w:marRight w:val="0"/>
      <w:marTop w:val="0"/>
      <w:marBottom w:val="0"/>
      <w:divBdr>
        <w:top w:val="none" w:sz="0" w:space="0" w:color="auto"/>
        <w:left w:val="none" w:sz="0" w:space="0" w:color="auto"/>
        <w:bottom w:val="none" w:sz="0" w:space="0" w:color="auto"/>
        <w:right w:val="none" w:sz="0" w:space="0" w:color="auto"/>
      </w:divBdr>
    </w:div>
    <w:div w:id="875509791">
      <w:bodyDiv w:val="1"/>
      <w:marLeft w:val="0"/>
      <w:marRight w:val="0"/>
      <w:marTop w:val="0"/>
      <w:marBottom w:val="0"/>
      <w:divBdr>
        <w:top w:val="none" w:sz="0" w:space="0" w:color="auto"/>
        <w:left w:val="none" w:sz="0" w:space="0" w:color="auto"/>
        <w:bottom w:val="none" w:sz="0" w:space="0" w:color="auto"/>
        <w:right w:val="none" w:sz="0" w:space="0" w:color="auto"/>
      </w:divBdr>
    </w:div>
    <w:div w:id="877089683">
      <w:bodyDiv w:val="1"/>
      <w:marLeft w:val="0"/>
      <w:marRight w:val="0"/>
      <w:marTop w:val="0"/>
      <w:marBottom w:val="0"/>
      <w:divBdr>
        <w:top w:val="none" w:sz="0" w:space="0" w:color="auto"/>
        <w:left w:val="none" w:sz="0" w:space="0" w:color="auto"/>
        <w:bottom w:val="none" w:sz="0" w:space="0" w:color="auto"/>
        <w:right w:val="none" w:sz="0" w:space="0" w:color="auto"/>
      </w:divBdr>
    </w:div>
    <w:div w:id="970207977">
      <w:bodyDiv w:val="1"/>
      <w:marLeft w:val="0"/>
      <w:marRight w:val="0"/>
      <w:marTop w:val="0"/>
      <w:marBottom w:val="0"/>
      <w:divBdr>
        <w:top w:val="none" w:sz="0" w:space="0" w:color="auto"/>
        <w:left w:val="none" w:sz="0" w:space="0" w:color="auto"/>
        <w:bottom w:val="none" w:sz="0" w:space="0" w:color="auto"/>
        <w:right w:val="none" w:sz="0" w:space="0" w:color="auto"/>
      </w:divBdr>
    </w:div>
    <w:div w:id="1061439708">
      <w:bodyDiv w:val="1"/>
      <w:marLeft w:val="0"/>
      <w:marRight w:val="0"/>
      <w:marTop w:val="0"/>
      <w:marBottom w:val="0"/>
      <w:divBdr>
        <w:top w:val="none" w:sz="0" w:space="0" w:color="auto"/>
        <w:left w:val="none" w:sz="0" w:space="0" w:color="auto"/>
        <w:bottom w:val="none" w:sz="0" w:space="0" w:color="auto"/>
        <w:right w:val="none" w:sz="0" w:space="0" w:color="auto"/>
      </w:divBdr>
      <w:divsChild>
        <w:div w:id="2134128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2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81561">
      <w:bodyDiv w:val="1"/>
      <w:marLeft w:val="0"/>
      <w:marRight w:val="0"/>
      <w:marTop w:val="0"/>
      <w:marBottom w:val="0"/>
      <w:divBdr>
        <w:top w:val="none" w:sz="0" w:space="0" w:color="auto"/>
        <w:left w:val="none" w:sz="0" w:space="0" w:color="auto"/>
        <w:bottom w:val="none" w:sz="0" w:space="0" w:color="auto"/>
        <w:right w:val="none" w:sz="0" w:space="0" w:color="auto"/>
      </w:divBdr>
    </w:div>
    <w:div w:id="1280839350">
      <w:bodyDiv w:val="1"/>
      <w:marLeft w:val="0"/>
      <w:marRight w:val="0"/>
      <w:marTop w:val="0"/>
      <w:marBottom w:val="0"/>
      <w:divBdr>
        <w:top w:val="none" w:sz="0" w:space="0" w:color="auto"/>
        <w:left w:val="none" w:sz="0" w:space="0" w:color="auto"/>
        <w:bottom w:val="none" w:sz="0" w:space="0" w:color="auto"/>
        <w:right w:val="none" w:sz="0" w:space="0" w:color="auto"/>
      </w:divBdr>
    </w:div>
    <w:div w:id="1417937682">
      <w:bodyDiv w:val="1"/>
      <w:marLeft w:val="0"/>
      <w:marRight w:val="0"/>
      <w:marTop w:val="0"/>
      <w:marBottom w:val="0"/>
      <w:divBdr>
        <w:top w:val="none" w:sz="0" w:space="0" w:color="auto"/>
        <w:left w:val="none" w:sz="0" w:space="0" w:color="auto"/>
        <w:bottom w:val="none" w:sz="0" w:space="0" w:color="auto"/>
        <w:right w:val="none" w:sz="0" w:space="0" w:color="auto"/>
      </w:divBdr>
    </w:div>
    <w:div w:id="1419329220">
      <w:bodyDiv w:val="1"/>
      <w:marLeft w:val="0"/>
      <w:marRight w:val="0"/>
      <w:marTop w:val="0"/>
      <w:marBottom w:val="0"/>
      <w:divBdr>
        <w:top w:val="none" w:sz="0" w:space="0" w:color="auto"/>
        <w:left w:val="none" w:sz="0" w:space="0" w:color="auto"/>
        <w:bottom w:val="none" w:sz="0" w:space="0" w:color="auto"/>
        <w:right w:val="none" w:sz="0" w:space="0" w:color="auto"/>
      </w:divBdr>
    </w:div>
    <w:div w:id="1657949174">
      <w:bodyDiv w:val="1"/>
      <w:marLeft w:val="0"/>
      <w:marRight w:val="0"/>
      <w:marTop w:val="0"/>
      <w:marBottom w:val="0"/>
      <w:divBdr>
        <w:top w:val="none" w:sz="0" w:space="0" w:color="auto"/>
        <w:left w:val="none" w:sz="0" w:space="0" w:color="auto"/>
        <w:bottom w:val="none" w:sz="0" w:space="0" w:color="auto"/>
        <w:right w:val="none" w:sz="0" w:space="0" w:color="auto"/>
      </w:divBdr>
    </w:div>
    <w:div w:id="1823426810">
      <w:bodyDiv w:val="1"/>
      <w:marLeft w:val="0"/>
      <w:marRight w:val="0"/>
      <w:marTop w:val="0"/>
      <w:marBottom w:val="0"/>
      <w:divBdr>
        <w:top w:val="none" w:sz="0" w:space="0" w:color="auto"/>
        <w:left w:val="none" w:sz="0" w:space="0" w:color="auto"/>
        <w:bottom w:val="none" w:sz="0" w:space="0" w:color="auto"/>
        <w:right w:val="none" w:sz="0" w:space="0" w:color="auto"/>
      </w:divBdr>
    </w:div>
    <w:div w:id="1980305204">
      <w:bodyDiv w:val="1"/>
      <w:marLeft w:val="0"/>
      <w:marRight w:val="0"/>
      <w:marTop w:val="0"/>
      <w:marBottom w:val="0"/>
      <w:divBdr>
        <w:top w:val="none" w:sz="0" w:space="0" w:color="auto"/>
        <w:left w:val="none" w:sz="0" w:space="0" w:color="auto"/>
        <w:bottom w:val="none" w:sz="0" w:space="0" w:color="auto"/>
        <w:right w:val="none" w:sz="0" w:space="0" w:color="auto"/>
      </w:divBdr>
    </w:div>
    <w:div w:id="2047102926">
      <w:bodyDiv w:val="1"/>
      <w:marLeft w:val="0"/>
      <w:marRight w:val="0"/>
      <w:marTop w:val="0"/>
      <w:marBottom w:val="0"/>
      <w:divBdr>
        <w:top w:val="none" w:sz="0" w:space="0" w:color="auto"/>
        <w:left w:val="none" w:sz="0" w:space="0" w:color="auto"/>
        <w:bottom w:val="none" w:sz="0" w:space="0" w:color="auto"/>
        <w:right w:val="none" w:sz="0" w:space="0" w:color="auto"/>
      </w:divBdr>
    </w:div>
    <w:div w:id="2052612269">
      <w:bodyDiv w:val="1"/>
      <w:marLeft w:val="0"/>
      <w:marRight w:val="0"/>
      <w:marTop w:val="0"/>
      <w:marBottom w:val="0"/>
      <w:divBdr>
        <w:top w:val="none" w:sz="0" w:space="0" w:color="auto"/>
        <w:left w:val="none" w:sz="0" w:space="0" w:color="auto"/>
        <w:bottom w:val="none" w:sz="0" w:space="0" w:color="auto"/>
        <w:right w:val="none" w:sz="0" w:space="0" w:color="auto"/>
      </w:divBdr>
    </w:div>
    <w:div w:id="205804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mc.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erschner\AppData\Local\Microsoft\Windows\Temporary%20Internet%20Files\Content.Outlook\4M2LS2M2\2018_03_05_Presseinformation.dotx" TargetMode="External"/></Relationships>
</file>

<file path=word/theme/theme1.xml><?xml version="1.0" encoding="utf-8"?>
<a:theme xmlns:a="http://schemas.openxmlformats.org/drawingml/2006/main" name="SMC">
  <a:themeElements>
    <a:clrScheme name="Benutzerdefiniert 1">
      <a:dk1>
        <a:sysClr val="windowText" lastClr="000000"/>
      </a:dk1>
      <a:lt1>
        <a:sysClr val="window" lastClr="FFFFFF"/>
      </a:lt1>
      <a:dk2>
        <a:srgbClr val="7E8C97"/>
      </a:dk2>
      <a:lt2>
        <a:srgbClr val="A6A6A6"/>
      </a:lt2>
      <a:accent1>
        <a:srgbClr val="2A60AA"/>
      </a:accent1>
      <a:accent2>
        <a:srgbClr val="2690C1"/>
      </a:accent2>
      <a:accent3>
        <a:srgbClr val="24AFB7"/>
      </a:accent3>
      <a:accent4>
        <a:srgbClr val="263FC1"/>
      </a:accent4>
      <a:accent5>
        <a:srgbClr val="4472C4"/>
      </a:accent5>
      <a:accent6>
        <a:srgbClr val="A6A6A6"/>
      </a:accent6>
      <a:hlink>
        <a:srgbClr val="5A5A5A"/>
      </a:hlink>
      <a:folHlink>
        <a:srgbClr val="48A1FA"/>
      </a:folHlink>
    </a:clrScheme>
    <a:fontScheme name="SMC Schrift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MC" id="{60C25F77-9737-43AB-9064-DBD1CC21404E}" vid="{64EE948B-29F8-4328-9BCB-94AD85AD56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9EFE7-9052-456A-90B9-4243F4E7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C:\Users\kuerschner\AppData\Local\Microsoft\Windows\Temporary Internet Files\Content.Outlook\4M2LS2M2\2018_03_05_Presseinformation.dotx</Template>
  <TotalTime>0</TotalTime>
  <Pages>4</Pages>
  <Words>1097</Words>
  <Characters>6915</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SMC Presseinformation</vt:lpstr>
    </vt:vector>
  </TitlesOfParts>
  <Company>SMC Deutschland</Company>
  <LinksUpToDate>false</LinksUpToDate>
  <CharactersWithSpaces>7997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SMC Presseinformation</dc:title>
  <dc:subject>VXB</dc:subject>
  <dc:creator>Brigitte Martinez-Mendez</dc:creator>
  <cp:keywords>HRSE</cp:keywords>
  <dc:description/>
  <cp:lastModifiedBy>Jens Eßer | PSM&amp;W</cp:lastModifiedBy>
  <cp:revision>2</cp:revision>
  <cp:lastPrinted>2020-08-19T13:25:00Z</cp:lastPrinted>
  <dcterms:created xsi:type="dcterms:W3CDTF">2022-09-14T13:45:00Z</dcterms:created>
  <dcterms:modified xsi:type="dcterms:W3CDTF">2022-09-14T13:45:00Z</dcterms:modified>
</cp:coreProperties>
</file>