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7978F322" w:rsidR="0062542D" w:rsidRPr="0062542D" w:rsidRDefault="005E052A" w:rsidP="0062542D">
      <w:pPr>
        <w:spacing w:before="120"/>
        <w:jc w:val="right"/>
      </w:pPr>
      <w:r>
        <w:t xml:space="preserve">Egelsbach, </w:t>
      </w:r>
      <w:r w:rsidR="007E7AAF">
        <w:t>August</w:t>
      </w:r>
      <w:r w:rsidR="008C2946">
        <w:t xml:space="preserve"> </w:t>
      </w:r>
      <w:r w:rsidR="004E0FED">
        <w:t>20</w:t>
      </w:r>
      <w:r w:rsidR="002537F4">
        <w:t>2</w:t>
      </w:r>
      <w:r w:rsidR="004E4D53">
        <w:t>2</w:t>
      </w:r>
    </w:p>
    <w:p w14:paraId="6FE2960A" w14:textId="77777777" w:rsidR="004D25B1" w:rsidRPr="004D25B1" w:rsidRDefault="004D25B1" w:rsidP="004D25B1">
      <w:pPr>
        <w:pStyle w:val="SMCUntertitel"/>
        <w:spacing w:after="0"/>
        <w:rPr>
          <w:b/>
          <w:sz w:val="30"/>
          <w:szCs w:val="30"/>
        </w:rPr>
      </w:pPr>
    </w:p>
    <w:p w14:paraId="38274999" w14:textId="7DE78657" w:rsidR="0062542D" w:rsidRDefault="006A72E6" w:rsidP="004D25B1">
      <w:pPr>
        <w:pStyle w:val="SMCUntertitel"/>
        <w:spacing w:before="0" w:after="0"/>
        <w:rPr>
          <w:b/>
          <w:sz w:val="30"/>
          <w:szCs w:val="30"/>
        </w:rPr>
      </w:pPr>
      <w:bookmarkStart w:id="0" w:name="_Hlk66370113"/>
      <w:bookmarkStart w:id="1" w:name="_Hlk66369236"/>
      <w:r>
        <w:rPr>
          <w:b/>
          <w:sz w:val="30"/>
          <w:szCs w:val="30"/>
        </w:rPr>
        <w:t>Modula</w:t>
      </w:r>
      <w:r w:rsidR="00DE426F">
        <w:rPr>
          <w:b/>
          <w:sz w:val="30"/>
          <w:szCs w:val="30"/>
        </w:rPr>
        <w:t xml:space="preserve">re </w:t>
      </w:r>
      <w:r w:rsidR="00FB545B">
        <w:rPr>
          <w:b/>
          <w:sz w:val="30"/>
          <w:szCs w:val="30"/>
        </w:rPr>
        <w:t>Nachhaltigkeit</w:t>
      </w:r>
      <w:r w:rsidR="00B9725A">
        <w:rPr>
          <w:b/>
          <w:sz w:val="30"/>
          <w:szCs w:val="30"/>
        </w:rPr>
        <w:t xml:space="preserve">: </w:t>
      </w:r>
      <w:r w:rsidR="002D446F">
        <w:rPr>
          <w:b/>
          <w:sz w:val="30"/>
          <w:szCs w:val="30"/>
        </w:rPr>
        <w:t>Neue</w:t>
      </w:r>
      <w:r>
        <w:rPr>
          <w:b/>
          <w:sz w:val="30"/>
          <w:szCs w:val="30"/>
        </w:rPr>
        <w:t>r</w:t>
      </w:r>
      <w:r w:rsidR="0017267C">
        <w:rPr>
          <w:b/>
          <w:sz w:val="30"/>
          <w:szCs w:val="30"/>
        </w:rPr>
        <w:t xml:space="preserve"> </w:t>
      </w:r>
      <w:r>
        <w:rPr>
          <w:b/>
          <w:sz w:val="30"/>
          <w:szCs w:val="30"/>
        </w:rPr>
        <w:t>digitaler Durchflusssensor</w:t>
      </w:r>
      <w:r w:rsidR="00FE749A">
        <w:rPr>
          <w:b/>
          <w:sz w:val="30"/>
          <w:szCs w:val="30"/>
        </w:rPr>
        <w:t xml:space="preserve"> der </w:t>
      </w:r>
      <w:r w:rsidR="0017267C">
        <w:rPr>
          <w:b/>
          <w:sz w:val="30"/>
          <w:szCs w:val="30"/>
        </w:rPr>
        <w:t xml:space="preserve">Serie </w:t>
      </w:r>
      <w:r>
        <w:rPr>
          <w:b/>
          <w:sz w:val="30"/>
          <w:szCs w:val="30"/>
        </w:rPr>
        <w:t>PF3A8</w:t>
      </w:r>
      <w:r w:rsidR="00B74290">
        <w:rPr>
          <w:b/>
          <w:sz w:val="30"/>
          <w:szCs w:val="30"/>
        </w:rPr>
        <w:t>#</w:t>
      </w:r>
      <w:r>
        <w:rPr>
          <w:b/>
          <w:sz w:val="30"/>
          <w:szCs w:val="30"/>
        </w:rPr>
        <w:t>H</w:t>
      </w:r>
      <w:r w:rsidR="00DE426F">
        <w:rPr>
          <w:b/>
          <w:sz w:val="30"/>
          <w:szCs w:val="30"/>
        </w:rPr>
        <w:t xml:space="preserve"> </w:t>
      </w:r>
      <w:r w:rsidR="00454FC3">
        <w:rPr>
          <w:b/>
          <w:sz w:val="30"/>
          <w:szCs w:val="30"/>
        </w:rPr>
        <w:t>bietet</w:t>
      </w:r>
      <w:r w:rsidR="00D801A9">
        <w:rPr>
          <w:b/>
          <w:sz w:val="30"/>
          <w:szCs w:val="30"/>
        </w:rPr>
        <w:t xml:space="preserve"> integrie</w:t>
      </w:r>
      <w:r w:rsidR="00D801A9" w:rsidRPr="00D87686">
        <w:rPr>
          <w:b/>
          <w:color w:val="2A60AA"/>
          <w:sz w:val="30"/>
          <w:szCs w:val="30"/>
        </w:rPr>
        <w:t>rt</w:t>
      </w:r>
      <w:r w:rsidR="00D801A9">
        <w:rPr>
          <w:b/>
          <w:sz w:val="30"/>
          <w:szCs w:val="30"/>
        </w:rPr>
        <w:t xml:space="preserve">e </w:t>
      </w:r>
      <w:r w:rsidR="003C344E">
        <w:rPr>
          <w:b/>
          <w:sz w:val="30"/>
          <w:szCs w:val="30"/>
        </w:rPr>
        <w:t>Druck</w:t>
      </w:r>
      <w:r w:rsidR="00DE426F">
        <w:rPr>
          <w:b/>
          <w:sz w:val="30"/>
          <w:szCs w:val="30"/>
        </w:rPr>
        <w:t>- und Temperatur</w:t>
      </w:r>
      <w:r w:rsidR="003C344E">
        <w:rPr>
          <w:b/>
          <w:sz w:val="30"/>
          <w:szCs w:val="30"/>
        </w:rPr>
        <w:t>sensor</w:t>
      </w:r>
      <w:r w:rsidR="00454FC3">
        <w:rPr>
          <w:b/>
          <w:sz w:val="30"/>
          <w:szCs w:val="30"/>
        </w:rPr>
        <w:t>en</w:t>
      </w:r>
      <w:r w:rsidR="003C344E">
        <w:rPr>
          <w:b/>
          <w:sz w:val="30"/>
          <w:szCs w:val="30"/>
        </w:rPr>
        <w:t xml:space="preserve"> </w:t>
      </w:r>
      <w:bookmarkEnd w:id="0"/>
    </w:p>
    <w:p w14:paraId="563F509E" w14:textId="77777777" w:rsidR="007D183E" w:rsidRDefault="007D183E" w:rsidP="0062542D">
      <w:pPr>
        <w:pStyle w:val="SMCUntertitel"/>
        <w:spacing w:before="120" w:after="0"/>
        <w:rPr>
          <w:b/>
          <w:sz w:val="30"/>
          <w:szCs w:val="30"/>
        </w:rPr>
      </w:pPr>
    </w:p>
    <w:p w14:paraId="6D0100E3" w14:textId="09EB1DD8" w:rsidR="00FE749A" w:rsidRDefault="003C21ED" w:rsidP="00E12492">
      <w:pPr>
        <w:spacing w:line="360" w:lineRule="atLeast"/>
        <w:rPr>
          <w:rFonts w:asciiTheme="majorHAnsi" w:eastAsiaTheme="majorEastAsia" w:hAnsiTheme="majorHAnsi" w:cstheme="majorBidi"/>
          <w:b/>
          <w:szCs w:val="32"/>
        </w:rPr>
      </w:pPr>
      <w:bookmarkStart w:id="2" w:name="_Hlk66368572"/>
      <w:bookmarkEnd w:id="1"/>
      <w:r>
        <w:rPr>
          <w:rFonts w:asciiTheme="majorHAnsi" w:eastAsiaTheme="majorEastAsia" w:hAnsiTheme="majorHAnsi" w:cstheme="majorBidi"/>
          <w:b/>
          <w:szCs w:val="32"/>
        </w:rPr>
        <w:t xml:space="preserve">Eine zuverlässige Versorgung mit Druckluft </w:t>
      </w:r>
      <w:r w:rsidR="00616F53" w:rsidRPr="00616F53">
        <w:rPr>
          <w:rFonts w:asciiTheme="majorHAnsi" w:eastAsiaTheme="majorEastAsia" w:hAnsiTheme="majorHAnsi" w:cstheme="majorBidi"/>
          <w:b/>
          <w:szCs w:val="32"/>
        </w:rPr>
        <w:t xml:space="preserve">ist bei allen </w:t>
      </w:r>
      <w:r>
        <w:rPr>
          <w:rFonts w:asciiTheme="majorHAnsi" w:eastAsiaTheme="majorEastAsia" w:hAnsiTheme="majorHAnsi" w:cstheme="majorBidi"/>
          <w:b/>
          <w:szCs w:val="32"/>
        </w:rPr>
        <w:t>pneumatischen Anwendungen</w:t>
      </w:r>
      <w:r w:rsidRPr="00616F53">
        <w:rPr>
          <w:rFonts w:asciiTheme="majorHAnsi" w:eastAsiaTheme="majorEastAsia" w:hAnsiTheme="majorHAnsi" w:cstheme="majorBidi"/>
          <w:b/>
          <w:szCs w:val="32"/>
        </w:rPr>
        <w:t xml:space="preserve"> </w:t>
      </w:r>
      <w:r w:rsidR="00616F53" w:rsidRPr="00616F53">
        <w:rPr>
          <w:rFonts w:asciiTheme="majorHAnsi" w:eastAsiaTheme="majorEastAsia" w:hAnsiTheme="majorHAnsi" w:cstheme="majorBidi"/>
          <w:b/>
          <w:szCs w:val="32"/>
        </w:rPr>
        <w:t xml:space="preserve">entscheidend für Produktivität, Prozesssicherheit und Energieeffizienz. Um </w:t>
      </w:r>
      <w:r w:rsidR="00454FC3">
        <w:rPr>
          <w:rFonts w:asciiTheme="majorHAnsi" w:eastAsiaTheme="majorEastAsia" w:hAnsiTheme="majorHAnsi" w:cstheme="majorBidi"/>
          <w:b/>
          <w:szCs w:val="32"/>
        </w:rPr>
        <w:t>dies in allen Industriebranchen</w:t>
      </w:r>
      <w:r w:rsidR="00616F53" w:rsidRPr="00616F53">
        <w:rPr>
          <w:rFonts w:asciiTheme="majorHAnsi" w:eastAsiaTheme="majorEastAsia" w:hAnsiTheme="majorHAnsi" w:cstheme="majorBidi"/>
          <w:b/>
          <w:szCs w:val="32"/>
        </w:rPr>
        <w:t xml:space="preserve"> zu gewährleisten, muss </w:t>
      </w:r>
      <w:r w:rsidR="00C57A7D">
        <w:rPr>
          <w:rFonts w:asciiTheme="majorHAnsi" w:eastAsiaTheme="majorEastAsia" w:hAnsiTheme="majorHAnsi" w:cstheme="majorBidi"/>
          <w:b/>
          <w:szCs w:val="32"/>
        </w:rPr>
        <w:t xml:space="preserve">der </w:t>
      </w:r>
      <w:r w:rsidR="00616F53" w:rsidRPr="00616F53">
        <w:rPr>
          <w:rFonts w:asciiTheme="majorHAnsi" w:eastAsiaTheme="majorEastAsia" w:hAnsiTheme="majorHAnsi" w:cstheme="majorBidi"/>
          <w:b/>
          <w:szCs w:val="32"/>
        </w:rPr>
        <w:t xml:space="preserve">Verbrauch </w:t>
      </w:r>
      <w:r w:rsidR="008C0572">
        <w:rPr>
          <w:rFonts w:asciiTheme="majorHAnsi" w:eastAsiaTheme="majorEastAsia" w:hAnsiTheme="majorHAnsi" w:cstheme="majorBidi"/>
          <w:b/>
          <w:szCs w:val="32"/>
        </w:rPr>
        <w:t xml:space="preserve">konstant und </w:t>
      </w:r>
      <w:r w:rsidR="00C57A7D">
        <w:rPr>
          <w:rFonts w:asciiTheme="majorHAnsi" w:eastAsiaTheme="majorEastAsia" w:hAnsiTheme="majorHAnsi" w:cstheme="majorBidi"/>
          <w:b/>
          <w:szCs w:val="32"/>
        </w:rPr>
        <w:t>zuverlässig überwacht werden</w:t>
      </w:r>
      <w:r w:rsidR="008C0572">
        <w:rPr>
          <w:rFonts w:asciiTheme="majorHAnsi" w:eastAsiaTheme="majorEastAsia" w:hAnsiTheme="majorHAnsi" w:cstheme="majorBidi"/>
          <w:b/>
          <w:szCs w:val="32"/>
        </w:rPr>
        <w:t xml:space="preserve"> – h</w:t>
      </w:r>
      <w:r w:rsidR="00616F53" w:rsidRPr="00616F53">
        <w:rPr>
          <w:rFonts w:asciiTheme="majorHAnsi" w:eastAsiaTheme="majorEastAsia" w:hAnsiTheme="majorHAnsi" w:cstheme="majorBidi"/>
          <w:b/>
          <w:szCs w:val="32"/>
        </w:rPr>
        <w:t xml:space="preserve">inzu kommen Aspekte wie </w:t>
      </w:r>
      <w:r w:rsidR="008C0572">
        <w:rPr>
          <w:rFonts w:asciiTheme="majorHAnsi" w:eastAsiaTheme="majorEastAsia" w:hAnsiTheme="majorHAnsi" w:cstheme="majorBidi"/>
          <w:b/>
          <w:szCs w:val="32"/>
        </w:rPr>
        <w:t>Nutzer</w:t>
      </w:r>
      <w:r w:rsidR="00616F53" w:rsidRPr="00616F53">
        <w:rPr>
          <w:rFonts w:asciiTheme="majorHAnsi" w:eastAsiaTheme="majorEastAsia" w:hAnsiTheme="majorHAnsi" w:cstheme="majorBidi"/>
          <w:b/>
          <w:szCs w:val="32"/>
        </w:rPr>
        <w:t xml:space="preserve">freundlichkeit und </w:t>
      </w:r>
      <w:r w:rsidR="00B95EB7">
        <w:rPr>
          <w:rFonts w:asciiTheme="majorHAnsi" w:eastAsiaTheme="majorEastAsia" w:hAnsiTheme="majorHAnsi" w:cstheme="majorBidi"/>
          <w:b/>
          <w:szCs w:val="32"/>
        </w:rPr>
        <w:t>Zukunftssicherheit</w:t>
      </w:r>
      <w:r w:rsidR="00616F53" w:rsidRPr="00616F53">
        <w:rPr>
          <w:rFonts w:asciiTheme="majorHAnsi" w:eastAsiaTheme="majorEastAsia" w:hAnsiTheme="majorHAnsi" w:cstheme="majorBidi"/>
          <w:b/>
          <w:szCs w:val="32"/>
        </w:rPr>
        <w:t xml:space="preserve">, um </w:t>
      </w:r>
      <w:r w:rsidR="008C0572">
        <w:rPr>
          <w:rFonts w:asciiTheme="majorHAnsi" w:eastAsiaTheme="majorEastAsia" w:hAnsiTheme="majorHAnsi" w:cstheme="majorBidi"/>
          <w:b/>
          <w:szCs w:val="32"/>
        </w:rPr>
        <w:t>ein breites Einsatzspektrum</w:t>
      </w:r>
      <w:r w:rsidR="00133B19">
        <w:rPr>
          <w:rFonts w:asciiTheme="majorHAnsi" w:eastAsiaTheme="majorEastAsia" w:hAnsiTheme="majorHAnsi" w:cstheme="majorBidi"/>
          <w:b/>
          <w:szCs w:val="32"/>
        </w:rPr>
        <w:t xml:space="preserve"> </w:t>
      </w:r>
      <w:r w:rsidR="00616F53" w:rsidRPr="00616F53">
        <w:rPr>
          <w:rFonts w:asciiTheme="majorHAnsi" w:eastAsiaTheme="majorEastAsia" w:hAnsiTheme="majorHAnsi" w:cstheme="majorBidi"/>
          <w:b/>
          <w:szCs w:val="32"/>
        </w:rPr>
        <w:t xml:space="preserve">abzudecken. </w:t>
      </w:r>
      <w:r w:rsidR="00454FC3">
        <w:rPr>
          <w:rFonts w:asciiTheme="majorHAnsi" w:eastAsiaTheme="majorEastAsia" w:hAnsiTheme="majorHAnsi" w:cstheme="majorBidi"/>
          <w:b/>
          <w:szCs w:val="32"/>
        </w:rPr>
        <w:t>Der</w:t>
      </w:r>
      <w:r w:rsidR="00616F53" w:rsidRPr="00616F53">
        <w:rPr>
          <w:rFonts w:asciiTheme="majorHAnsi" w:eastAsiaTheme="majorEastAsia" w:hAnsiTheme="majorHAnsi" w:cstheme="majorBidi"/>
          <w:b/>
          <w:szCs w:val="32"/>
        </w:rPr>
        <w:t xml:space="preserve"> </w:t>
      </w:r>
      <w:r w:rsidR="006B21DA">
        <w:rPr>
          <w:rFonts w:asciiTheme="majorHAnsi" w:eastAsiaTheme="majorEastAsia" w:hAnsiTheme="majorHAnsi" w:cstheme="majorBidi"/>
          <w:b/>
          <w:szCs w:val="32"/>
        </w:rPr>
        <w:t>neu</w:t>
      </w:r>
      <w:r w:rsidR="00454FC3">
        <w:rPr>
          <w:rFonts w:asciiTheme="majorHAnsi" w:eastAsiaTheme="majorEastAsia" w:hAnsiTheme="majorHAnsi" w:cstheme="majorBidi"/>
          <w:b/>
          <w:szCs w:val="32"/>
        </w:rPr>
        <w:t>e</w:t>
      </w:r>
      <w:r w:rsidR="006B21DA">
        <w:rPr>
          <w:rFonts w:asciiTheme="majorHAnsi" w:eastAsiaTheme="majorEastAsia" w:hAnsiTheme="majorHAnsi" w:cstheme="majorBidi"/>
          <w:b/>
          <w:szCs w:val="32"/>
        </w:rPr>
        <w:t xml:space="preserve"> </w:t>
      </w:r>
      <w:r w:rsidR="00616F53" w:rsidRPr="00616F53">
        <w:rPr>
          <w:rFonts w:asciiTheme="majorHAnsi" w:eastAsiaTheme="majorEastAsia" w:hAnsiTheme="majorHAnsi" w:cstheme="majorBidi"/>
          <w:b/>
          <w:szCs w:val="32"/>
        </w:rPr>
        <w:t>digitale Durchflussschalter der Serie PF3A</w:t>
      </w:r>
      <w:r w:rsidR="00616F53">
        <w:rPr>
          <w:rFonts w:asciiTheme="majorHAnsi" w:eastAsiaTheme="majorEastAsia" w:hAnsiTheme="majorHAnsi" w:cstheme="majorBidi"/>
          <w:b/>
          <w:szCs w:val="32"/>
        </w:rPr>
        <w:t>8</w:t>
      </w:r>
      <w:r w:rsidR="00B74290">
        <w:rPr>
          <w:rFonts w:asciiTheme="majorHAnsi" w:eastAsiaTheme="majorEastAsia" w:hAnsiTheme="majorHAnsi" w:cstheme="majorBidi"/>
          <w:b/>
          <w:szCs w:val="32"/>
        </w:rPr>
        <w:t>#</w:t>
      </w:r>
      <w:r w:rsidR="00616F53">
        <w:rPr>
          <w:rFonts w:asciiTheme="majorHAnsi" w:eastAsiaTheme="majorEastAsia" w:hAnsiTheme="majorHAnsi" w:cstheme="majorBidi"/>
          <w:b/>
          <w:szCs w:val="32"/>
        </w:rPr>
        <w:t xml:space="preserve">H </w:t>
      </w:r>
      <w:r w:rsidR="00454FC3">
        <w:rPr>
          <w:rFonts w:asciiTheme="majorHAnsi" w:eastAsiaTheme="majorEastAsia" w:hAnsiTheme="majorHAnsi" w:cstheme="majorBidi"/>
          <w:b/>
          <w:szCs w:val="32"/>
        </w:rPr>
        <w:t xml:space="preserve">von </w:t>
      </w:r>
      <w:r w:rsidR="00616F53" w:rsidRPr="00616F53">
        <w:rPr>
          <w:rFonts w:asciiTheme="majorHAnsi" w:eastAsiaTheme="majorEastAsia" w:hAnsiTheme="majorHAnsi" w:cstheme="majorBidi"/>
          <w:b/>
          <w:szCs w:val="32"/>
        </w:rPr>
        <w:t xml:space="preserve">SMC </w:t>
      </w:r>
      <w:r w:rsidR="00454FC3" w:rsidRPr="00616F53">
        <w:rPr>
          <w:rFonts w:asciiTheme="majorHAnsi" w:eastAsiaTheme="majorEastAsia" w:hAnsiTheme="majorHAnsi" w:cstheme="majorBidi"/>
          <w:b/>
          <w:szCs w:val="32"/>
        </w:rPr>
        <w:t xml:space="preserve">erfüllt </w:t>
      </w:r>
      <w:r w:rsidR="00616F53" w:rsidRPr="00616F53">
        <w:rPr>
          <w:rFonts w:asciiTheme="majorHAnsi" w:eastAsiaTheme="majorEastAsia" w:hAnsiTheme="majorHAnsi" w:cstheme="majorBidi"/>
          <w:b/>
          <w:szCs w:val="32"/>
        </w:rPr>
        <w:t>diese</w:t>
      </w:r>
      <w:r w:rsidR="006B21DA">
        <w:rPr>
          <w:rFonts w:asciiTheme="majorHAnsi" w:eastAsiaTheme="majorEastAsia" w:hAnsiTheme="majorHAnsi" w:cstheme="majorBidi"/>
          <w:b/>
          <w:szCs w:val="32"/>
        </w:rPr>
        <w:t xml:space="preserve"> </w:t>
      </w:r>
      <w:r w:rsidR="00133B19">
        <w:rPr>
          <w:rFonts w:asciiTheme="majorHAnsi" w:eastAsiaTheme="majorEastAsia" w:hAnsiTheme="majorHAnsi" w:cstheme="majorBidi"/>
          <w:b/>
          <w:szCs w:val="32"/>
        </w:rPr>
        <w:t>vielfältigen</w:t>
      </w:r>
      <w:r w:rsidR="00616F53" w:rsidRPr="00616F53">
        <w:rPr>
          <w:rFonts w:asciiTheme="majorHAnsi" w:eastAsiaTheme="majorEastAsia" w:hAnsiTheme="majorHAnsi" w:cstheme="majorBidi"/>
          <w:b/>
          <w:szCs w:val="32"/>
        </w:rPr>
        <w:t xml:space="preserve"> Anforderung</w:t>
      </w:r>
      <w:r w:rsidR="00491BBB">
        <w:rPr>
          <w:rFonts w:asciiTheme="majorHAnsi" w:eastAsiaTheme="majorEastAsia" w:hAnsiTheme="majorHAnsi" w:cstheme="majorBidi"/>
          <w:b/>
          <w:szCs w:val="32"/>
        </w:rPr>
        <w:t>en:</w:t>
      </w:r>
      <w:r w:rsidR="00616F53" w:rsidRPr="00616F53">
        <w:rPr>
          <w:rFonts w:asciiTheme="majorHAnsi" w:eastAsiaTheme="majorEastAsia" w:hAnsiTheme="majorHAnsi" w:cstheme="majorBidi"/>
          <w:b/>
          <w:szCs w:val="32"/>
        </w:rPr>
        <w:t xml:space="preserve"> Die </w:t>
      </w:r>
      <w:r w:rsidR="00133B19">
        <w:rPr>
          <w:rFonts w:asciiTheme="majorHAnsi" w:eastAsiaTheme="majorEastAsia" w:hAnsiTheme="majorHAnsi" w:cstheme="majorBidi"/>
          <w:b/>
          <w:szCs w:val="32"/>
        </w:rPr>
        <w:t>modulare Komplettl</w:t>
      </w:r>
      <w:r w:rsidR="00616F53" w:rsidRPr="00616F53">
        <w:rPr>
          <w:rFonts w:asciiTheme="majorHAnsi" w:eastAsiaTheme="majorEastAsia" w:hAnsiTheme="majorHAnsi" w:cstheme="majorBidi"/>
          <w:b/>
          <w:szCs w:val="32"/>
        </w:rPr>
        <w:t xml:space="preserve">ösung </w:t>
      </w:r>
      <w:r w:rsidR="008C0572">
        <w:rPr>
          <w:rFonts w:asciiTheme="majorHAnsi" w:eastAsiaTheme="majorEastAsia" w:hAnsiTheme="majorHAnsi" w:cstheme="majorBidi"/>
          <w:b/>
          <w:szCs w:val="32"/>
        </w:rPr>
        <w:t>visualisiert</w:t>
      </w:r>
      <w:r w:rsidR="00133B19">
        <w:rPr>
          <w:rFonts w:asciiTheme="majorHAnsi" w:eastAsiaTheme="majorEastAsia" w:hAnsiTheme="majorHAnsi" w:cstheme="majorBidi"/>
          <w:b/>
          <w:szCs w:val="32"/>
        </w:rPr>
        <w:t xml:space="preserve"> auf </w:t>
      </w:r>
      <w:r w:rsidR="003814C5">
        <w:rPr>
          <w:rFonts w:asciiTheme="majorHAnsi" w:eastAsiaTheme="majorEastAsia" w:hAnsiTheme="majorHAnsi" w:cstheme="majorBidi"/>
          <w:b/>
          <w:szCs w:val="32"/>
        </w:rPr>
        <w:t>ihrem 3-farbigen</w:t>
      </w:r>
      <w:r w:rsidR="00133B19">
        <w:rPr>
          <w:rFonts w:asciiTheme="majorHAnsi" w:eastAsiaTheme="majorEastAsia" w:hAnsiTheme="majorHAnsi" w:cstheme="majorBidi"/>
          <w:b/>
          <w:szCs w:val="32"/>
        </w:rPr>
        <w:t xml:space="preserve"> </w:t>
      </w:r>
      <w:r w:rsidR="00454FC3">
        <w:rPr>
          <w:rFonts w:asciiTheme="majorHAnsi" w:eastAsiaTheme="majorEastAsia" w:hAnsiTheme="majorHAnsi" w:cstheme="majorBidi"/>
          <w:b/>
          <w:szCs w:val="32"/>
        </w:rPr>
        <w:t>Display</w:t>
      </w:r>
      <w:r w:rsidR="00133B19">
        <w:rPr>
          <w:rFonts w:asciiTheme="majorHAnsi" w:eastAsiaTheme="majorEastAsia" w:hAnsiTheme="majorHAnsi" w:cstheme="majorBidi"/>
          <w:b/>
          <w:szCs w:val="32"/>
        </w:rPr>
        <w:t xml:space="preserve"> </w:t>
      </w:r>
      <w:r w:rsidR="00D801A9">
        <w:rPr>
          <w:rFonts w:asciiTheme="majorHAnsi" w:eastAsiaTheme="majorEastAsia" w:hAnsiTheme="majorHAnsi" w:cstheme="majorBidi"/>
          <w:b/>
          <w:szCs w:val="32"/>
        </w:rPr>
        <w:t xml:space="preserve">jetzt </w:t>
      </w:r>
      <w:r w:rsidR="00133B19">
        <w:rPr>
          <w:rFonts w:asciiTheme="majorHAnsi" w:eastAsiaTheme="majorEastAsia" w:hAnsiTheme="majorHAnsi" w:cstheme="majorBidi"/>
          <w:b/>
          <w:szCs w:val="32"/>
        </w:rPr>
        <w:t>gleichzeitig Druck- und Temperaturwerte, erlaubt</w:t>
      </w:r>
      <w:r w:rsidR="00545342">
        <w:rPr>
          <w:rFonts w:asciiTheme="majorHAnsi" w:eastAsiaTheme="majorEastAsia" w:hAnsiTheme="majorHAnsi" w:cstheme="majorBidi"/>
          <w:b/>
          <w:szCs w:val="32"/>
        </w:rPr>
        <w:t xml:space="preserve"> </w:t>
      </w:r>
      <w:r w:rsidR="00FC1E11">
        <w:rPr>
          <w:rFonts w:asciiTheme="majorHAnsi" w:eastAsiaTheme="majorEastAsia" w:hAnsiTheme="majorHAnsi" w:cstheme="majorBidi"/>
          <w:b/>
          <w:szCs w:val="32"/>
        </w:rPr>
        <w:t>dank hohem Durchflussverhältnis von</w:t>
      </w:r>
      <w:r w:rsidR="00545342" w:rsidRPr="00616F53">
        <w:rPr>
          <w:rFonts w:asciiTheme="majorHAnsi" w:eastAsiaTheme="majorEastAsia" w:hAnsiTheme="majorHAnsi" w:cstheme="majorBidi"/>
          <w:b/>
          <w:szCs w:val="32"/>
        </w:rPr>
        <w:t xml:space="preserve"> 100:1 die Erfassung von kleinen Leckagen</w:t>
      </w:r>
      <w:r w:rsidR="00FC1E11">
        <w:rPr>
          <w:rFonts w:asciiTheme="majorHAnsi" w:eastAsiaTheme="majorEastAsia" w:hAnsiTheme="majorHAnsi" w:cstheme="majorBidi"/>
          <w:b/>
          <w:szCs w:val="32"/>
        </w:rPr>
        <w:t xml:space="preserve"> und</w:t>
      </w:r>
      <w:r w:rsidR="00545342" w:rsidRPr="00616F53">
        <w:rPr>
          <w:rFonts w:asciiTheme="majorHAnsi" w:eastAsiaTheme="majorEastAsia" w:hAnsiTheme="majorHAnsi" w:cstheme="majorBidi"/>
          <w:b/>
          <w:szCs w:val="32"/>
        </w:rPr>
        <w:t xml:space="preserve"> </w:t>
      </w:r>
      <w:r w:rsidR="00FC1E11">
        <w:rPr>
          <w:rFonts w:asciiTheme="majorHAnsi" w:eastAsiaTheme="majorEastAsia" w:hAnsiTheme="majorHAnsi" w:cstheme="majorBidi"/>
          <w:b/>
          <w:szCs w:val="32"/>
        </w:rPr>
        <w:t>ist mit</w:t>
      </w:r>
      <w:r w:rsidR="00491BBB">
        <w:rPr>
          <w:rFonts w:asciiTheme="majorHAnsi" w:eastAsiaTheme="majorEastAsia" w:hAnsiTheme="majorHAnsi" w:cstheme="majorBidi"/>
          <w:b/>
          <w:szCs w:val="32"/>
        </w:rPr>
        <w:t xml:space="preserve"> </w:t>
      </w:r>
      <w:r w:rsidR="00616F53" w:rsidRPr="00616F53">
        <w:rPr>
          <w:rFonts w:asciiTheme="majorHAnsi" w:eastAsiaTheme="majorEastAsia" w:hAnsiTheme="majorHAnsi" w:cstheme="majorBidi"/>
          <w:b/>
          <w:szCs w:val="32"/>
        </w:rPr>
        <w:t>IO-Link</w:t>
      </w:r>
      <w:r w:rsidR="004C72AC">
        <w:rPr>
          <w:rFonts w:asciiTheme="majorHAnsi" w:eastAsiaTheme="majorEastAsia" w:hAnsiTheme="majorHAnsi" w:cstheme="majorBidi"/>
          <w:b/>
          <w:szCs w:val="32"/>
        </w:rPr>
        <w:t xml:space="preserve"> </w:t>
      </w:r>
      <w:r w:rsidR="00616F53" w:rsidRPr="00616F53">
        <w:rPr>
          <w:rFonts w:asciiTheme="majorHAnsi" w:eastAsiaTheme="majorEastAsia" w:hAnsiTheme="majorHAnsi" w:cstheme="majorBidi"/>
          <w:b/>
          <w:szCs w:val="32"/>
        </w:rPr>
        <w:t xml:space="preserve">Port </w:t>
      </w:r>
      <w:r w:rsidR="00545342">
        <w:rPr>
          <w:rFonts w:asciiTheme="majorHAnsi" w:eastAsiaTheme="majorEastAsia" w:hAnsiTheme="majorHAnsi" w:cstheme="majorBidi"/>
          <w:b/>
          <w:szCs w:val="32"/>
        </w:rPr>
        <w:t xml:space="preserve">für die </w:t>
      </w:r>
      <w:r w:rsidR="00616F53" w:rsidRPr="00616F53">
        <w:rPr>
          <w:rFonts w:asciiTheme="majorHAnsi" w:eastAsiaTheme="majorEastAsia" w:hAnsiTheme="majorHAnsi" w:cstheme="majorBidi"/>
          <w:b/>
          <w:szCs w:val="32"/>
        </w:rPr>
        <w:t>Industrie 4.0</w:t>
      </w:r>
      <w:r w:rsidR="0051644C">
        <w:rPr>
          <w:rFonts w:asciiTheme="majorHAnsi" w:eastAsiaTheme="majorEastAsia" w:hAnsiTheme="majorHAnsi" w:cstheme="majorBidi"/>
          <w:b/>
          <w:szCs w:val="32"/>
        </w:rPr>
        <w:t xml:space="preserve"> gerüstet</w:t>
      </w:r>
      <w:r w:rsidR="00616F53" w:rsidRPr="00616F53">
        <w:rPr>
          <w:rFonts w:asciiTheme="majorHAnsi" w:eastAsiaTheme="majorEastAsia" w:hAnsiTheme="majorHAnsi" w:cstheme="majorBidi"/>
          <w:b/>
          <w:szCs w:val="32"/>
        </w:rPr>
        <w:t xml:space="preserve">.  </w:t>
      </w:r>
      <w:r w:rsidR="00865D52">
        <w:rPr>
          <w:rFonts w:asciiTheme="majorHAnsi" w:eastAsiaTheme="majorEastAsia" w:hAnsiTheme="majorHAnsi" w:cstheme="majorBidi"/>
          <w:b/>
          <w:szCs w:val="32"/>
        </w:rPr>
        <w:t xml:space="preserve"> </w:t>
      </w:r>
    </w:p>
    <w:p w14:paraId="6936E1B2" w14:textId="3594BFFE" w:rsidR="00616F53" w:rsidRDefault="00545342" w:rsidP="00616F53">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Die g</w:t>
      </w:r>
      <w:r w:rsidRPr="00AB47C9">
        <w:rPr>
          <w:rFonts w:asciiTheme="majorHAnsi" w:eastAsiaTheme="majorEastAsia" w:hAnsiTheme="majorHAnsi" w:cstheme="majorBidi"/>
          <w:bCs/>
          <w:szCs w:val="32"/>
        </w:rPr>
        <w:t xml:space="preserve">enaue Messung </w:t>
      </w:r>
      <w:r>
        <w:rPr>
          <w:rFonts w:asciiTheme="majorHAnsi" w:eastAsiaTheme="majorEastAsia" w:hAnsiTheme="majorHAnsi" w:cstheme="majorBidi"/>
          <w:bCs/>
          <w:szCs w:val="32"/>
        </w:rPr>
        <w:t xml:space="preserve">und Überwachung des Luftstroms </w:t>
      </w:r>
      <w:r w:rsidRPr="00AB47C9">
        <w:rPr>
          <w:rFonts w:asciiTheme="majorHAnsi" w:eastAsiaTheme="majorEastAsia" w:hAnsiTheme="majorHAnsi" w:cstheme="majorBidi"/>
          <w:bCs/>
          <w:szCs w:val="32"/>
        </w:rPr>
        <w:t xml:space="preserve">bei Druckluftanwendungen </w:t>
      </w:r>
      <w:r>
        <w:rPr>
          <w:rFonts w:asciiTheme="majorHAnsi" w:eastAsiaTheme="majorEastAsia" w:hAnsiTheme="majorHAnsi" w:cstheme="majorBidi"/>
          <w:bCs/>
          <w:szCs w:val="32"/>
        </w:rPr>
        <w:t>ist in zahlreichen</w:t>
      </w:r>
      <w:r w:rsidRPr="00AB47C9">
        <w:rPr>
          <w:rFonts w:asciiTheme="majorHAnsi" w:eastAsiaTheme="majorEastAsia" w:hAnsiTheme="majorHAnsi" w:cstheme="majorBidi"/>
          <w:bCs/>
          <w:szCs w:val="32"/>
        </w:rPr>
        <w:t xml:space="preserve"> </w:t>
      </w:r>
      <w:r w:rsidR="00616F53" w:rsidRPr="00AB47C9">
        <w:rPr>
          <w:rFonts w:asciiTheme="majorHAnsi" w:eastAsiaTheme="majorEastAsia" w:hAnsiTheme="majorHAnsi" w:cstheme="majorBidi"/>
          <w:bCs/>
          <w:szCs w:val="32"/>
        </w:rPr>
        <w:t xml:space="preserve">Branchen </w:t>
      </w:r>
      <w:r>
        <w:rPr>
          <w:rFonts w:asciiTheme="majorHAnsi" w:eastAsiaTheme="majorEastAsia" w:hAnsiTheme="majorHAnsi" w:cstheme="majorBidi"/>
          <w:bCs/>
          <w:szCs w:val="32"/>
        </w:rPr>
        <w:t>elementar</w:t>
      </w:r>
      <w:r w:rsidR="00523D7C">
        <w:rPr>
          <w:rFonts w:asciiTheme="majorHAnsi" w:eastAsiaTheme="majorEastAsia" w:hAnsiTheme="majorHAnsi" w:cstheme="majorBidi"/>
          <w:bCs/>
          <w:szCs w:val="32"/>
        </w:rPr>
        <w:t xml:space="preserve"> </w:t>
      </w:r>
      <w:r>
        <w:rPr>
          <w:rFonts w:asciiTheme="majorHAnsi" w:eastAsiaTheme="majorEastAsia" w:hAnsiTheme="majorHAnsi" w:cstheme="majorBidi"/>
          <w:bCs/>
          <w:szCs w:val="32"/>
        </w:rPr>
        <w:t>und gleichzeitig ein Schritt zu mehr Energieeffizienz</w:t>
      </w:r>
      <w:r w:rsidR="00616F53" w:rsidRPr="00AB47C9">
        <w:rPr>
          <w:rFonts w:asciiTheme="majorHAnsi" w:eastAsiaTheme="majorEastAsia" w:hAnsiTheme="majorHAnsi" w:cstheme="majorBidi"/>
          <w:bCs/>
          <w:szCs w:val="32"/>
        </w:rPr>
        <w:t xml:space="preserve">. </w:t>
      </w:r>
      <w:r>
        <w:rPr>
          <w:rFonts w:asciiTheme="majorHAnsi" w:eastAsiaTheme="majorEastAsia" w:hAnsiTheme="majorHAnsi" w:cstheme="majorBidi"/>
          <w:bCs/>
          <w:szCs w:val="32"/>
        </w:rPr>
        <w:t>Daneben</w:t>
      </w:r>
      <w:r w:rsidR="00616F53" w:rsidRPr="00AB47C9">
        <w:rPr>
          <w:rFonts w:asciiTheme="majorHAnsi" w:eastAsiaTheme="majorEastAsia" w:hAnsiTheme="majorHAnsi" w:cstheme="majorBidi"/>
          <w:bCs/>
          <w:szCs w:val="32"/>
        </w:rPr>
        <w:t xml:space="preserve"> sollte ein breites </w:t>
      </w:r>
      <w:r w:rsidR="00DE426F">
        <w:rPr>
          <w:rFonts w:asciiTheme="majorHAnsi" w:eastAsiaTheme="majorEastAsia" w:hAnsiTheme="majorHAnsi" w:cstheme="majorBidi"/>
          <w:bCs/>
          <w:szCs w:val="32"/>
        </w:rPr>
        <w:t>Anwendungs</w:t>
      </w:r>
      <w:r w:rsidR="00616F53" w:rsidRPr="00AB47C9">
        <w:rPr>
          <w:rFonts w:asciiTheme="majorHAnsi" w:eastAsiaTheme="majorEastAsia" w:hAnsiTheme="majorHAnsi" w:cstheme="majorBidi"/>
          <w:bCs/>
          <w:szCs w:val="32"/>
        </w:rPr>
        <w:t xml:space="preserve">spektrum </w:t>
      </w:r>
      <w:r>
        <w:rPr>
          <w:rFonts w:asciiTheme="majorHAnsi" w:eastAsiaTheme="majorEastAsia" w:hAnsiTheme="majorHAnsi" w:cstheme="majorBidi"/>
          <w:bCs/>
          <w:szCs w:val="32"/>
        </w:rPr>
        <w:t>bedient werden</w:t>
      </w:r>
      <w:r w:rsidR="00523D7C">
        <w:rPr>
          <w:rFonts w:asciiTheme="majorHAnsi" w:eastAsiaTheme="majorEastAsia" w:hAnsiTheme="majorHAnsi" w:cstheme="majorBidi"/>
          <w:bCs/>
          <w:szCs w:val="32"/>
        </w:rPr>
        <w:t xml:space="preserve"> –</w:t>
      </w:r>
      <w:r w:rsidR="00616F53" w:rsidRPr="00AB47C9">
        <w:rPr>
          <w:rFonts w:asciiTheme="majorHAnsi" w:eastAsiaTheme="majorEastAsia" w:hAnsiTheme="majorHAnsi" w:cstheme="majorBidi"/>
          <w:bCs/>
          <w:szCs w:val="32"/>
        </w:rPr>
        <w:t xml:space="preserve"> </w:t>
      </w:r>
      <w:r w:rsidR="00523D7C">
        <w:rPr>
          <w:rFonts w:asciiTheme="majorHAnsi" w:eastAsiaTheme="majorEastAsia" w:hAnsiTheme="majorHAnsi" w:cstheme="majorBidi"/>
          <w:bCs/>
          <w:szCs w:val="32"/>
        </w:rPr>
        <w:t>ob zum</w:t>
      </w:r>
      <w:r w:rsidR="00616F53" w:rsidRPr="00AB47C9">
        <w:rPr>
          <w:rFonts w:asciiTheme="majorHAnsi" w:eastAsiaTheme="majorEastAsia" w:hAnsiTheme="majorHAnsi" w:cstheme="majorBidi"/>
          <w:bCs/>
          <w:szCs w:val="32"/>
        </w:rPr>
        <w:t xml:space="preserve"> </w:t>
      </w:r>
      <w:r w:rsidR="00DE426F">
        <w:rPr>
          <w:rFonts w:asciiTheme="majorHAnsi" w:eastAsiaTheme="majorEastAsia" w:hAnsiTheme="majorHAnsi" w:cstheme="majorBidi"/>
          <w:bCs/>
          <w:szCs w:val="32"/>
        </w:rPr>
        <w:t>Einsatz bei</w:t>
      </w:r>
      <w:r w:rsidR="00616F53" w:rsidRPr="00AB47C9">
        <w:rPr>
          <w:rFonts w:asciiTheme="majorHAnsi" w:eastAsiaTheme="majorEastAsia" w:hAnsiTheme="majorHAnsi" w:cstheme="majorBidi"/>
          <w:bCs/>
          <w:szCs w:val="32"/>
        </w:rPr>
        <w:t xml:space="preserve"> kombinierten Wartungseinheite</w:t>
      </w:r>
      <w:r w:rsidR="00523D7C">
        <w:rPr>
          <w:rFonts w:asciiTheme="majorHAnsi" w:eastAsiaTheme="majorEastAsia" w:hAnsiTheme="majorHAnsi" w:cstheme="majorBidi"/>
          <w:bCs/>
          <w:szCs w:val="32"/>
        </w:rPr>
        <w:t xml:space="preserve">n, zur </w:t>
      </w:r>
      <w:r w:rsidR="00616F53" w:rsidRPr="00AB47C9">
        <w:rPr>
          <w:rFonts w:asciiTheme="majorHAnsi" w:eastAsiaTheme="majorEastAsia" w:hAnsiTheme="majorHAnsi" w:cstheme="majorBidi"/>
          <w:bCs/>
          <w:szCs w:val="32"/>
        </w:rPr>
        <w:t xml:space="preserve">Durchflussregelung von Hauptleitungen </w:t>
      </w:r>
      <w:r w:rsidR="00523D7C">
        <w:rPr>
          <w:rFonts w:asciiTheme="majorHAnsi" w:eastAsiaTheme="majorEastAsia" w:hAnsiTheme="majorHAnsi" w:cstheme="majorBidi"/>
          <w:bCs/>
          <w:szCs w:val="32"/>
        </w:rPr>
        <w:t>oder</w:t>
      </w:r>
      <w:r w:rsidR="00616F53" w:rsidRPr="00AB47C9">
        <w:rPr>
          <w:rFonts w:asciiTheme="majorHAnsi" w:eastAsiaTheme="majorEastAsia" w:hAnsiTheme="majorHAnsi" w:cstheme="majorBidi"/>
          <w:bCs/>
          <w:szCs w:val="32"/>
        </w:rPr>
        <w:t xml:space="preserve"> zur Messung</w:t>
      </w:r>
      <w:r w:rsidR="004C72AC">
        <w:rPr>
          <w:rFonts w:asciiTheme="majorHAnsi" w:eastAsiaTheme="majorEastAsia" w:hAnsiTheme="majorHAnsi" w:cstheme="majorBidi"/>
          <w:bCs/>
          <w:szCs w:val="32"/>
        </w:rPr>
        <w:t xml:space="preserve"> von </w:t>
      </w:r>
      <w:proofErr w:type="spellStart"/>
      <w:r w:rsidR="004C72AC">
        <w:rPr>
          <w:rFonts w:asciiTheme="majorHAnsi" w:eastAsiaTheme="majorEastAsia" w:hAnsiTheme="majorHAnsi" w:cstheme="majorBidi"/>
          <w:bCs/>
          <w:szCs w:val="32"/>
        </w:rPr>
        <w:t>Blasluft</w:t>
      </w:r>
      <w:proofErr w:type="spellEnd"/>
      <w:r w:rsidR="00616F53" w:rsidRPr="00AB47C9">
        <w:rPr>
          <w:rFonts w:asciiTheme="majorHAnsi" w:eastAsiaTheme="majorEastAsia" w:hAnsiTheme="majorHAnsi" w:cstheme="majorBidi"/>
          <w:bCs/>
          <w:szCs w:val="32"/>
        </w:rPr>
        <w:t xml:space="preserve">. </w:t>
      </w:r>
      <w:r w:rsidR="00523D7C">
        <w:rPr>
          <w:rFonts w:asciiTheme="majorHAnsi" w:eastAsiaTheme="majorEastAsia" w:hAnsiTheme="majorHAnsi" w:cstheme="majorBidi"/>
          <w:bCs/>
          <w:szCs w:val="32"/>
        </w:rPr>
        <w:t>Für hohe Prozesssicherheit und</w:t>
      </w:r>
      <w:r w:rsidR="00D262A1">
        <w:rPr>
          <w:rFonts w:asciiTheme="majorHAnsi" w:eastAsiaTheme="majorEastAsia" w:hAnsiTheme="majorHAnsi" w:cstheme="majorBidi"/>
          <w:bCs/>
          <w:szCs w:val="32"/>
        </w:rPr>
        <w:t xml:space="preserve"> E</w:t>
      </w:r>
      <w:r w:rsidR="00523D7C">
        <w:rPr>
          <w:rFonts w:asciiTheme="majorHAnsi" w:eastAsiaTheme="majorEastAsia" w:hAnsiTheme="majorHAnsi" w:cstheme="majorBidi"/>
          <w:bCs/>
          <w:szCs w:val="32"/>
        </w:rPr>
        <w:t>ffizienz</w:t>
      </w:r>
      <w:r w:rsidR="00523D7C" w:rsidRPr="00AB47C9">
        <w:rPr>
          <w:rFonts w:asciiTheme="majorHAnsi" w:eastAsiaTheme="majorEastAsia" w:hAnsiTheme="majorHAnsi" w:cstheme="majorBidi"/>
          <w:bCs/>
          <w:szCs w:val="32"/>
        </w:rPr>
        <w:t xml:space="preserve"> </w:t>
      </w:r>
      <w:r w:rsidR="00616F53" w:rsidRPr="00AB47C9">
        <w:rPr>
          <w:rFonts w:asciiTheme="majorHAnsi" w:eastAsiaTheme="majorEastAsia" w:hAnsiTheme="majorHAnsi" w:cstheme="majorBidi"/>
          <w:bCs/>
          <w:szCs w:val="32"/>
        </w:rPr>
        <w:t>bietet der Spezialist für pneumatische und elektrische Automatisierung</w:t>
      </w:r>
      <w:r w:rsidR="00523D7C">
        <w:rPr>
          <w:rFonts w:asciiTheme="majorHAnsi" w:eastAsiaTheme="majorEastAsia" w:hAnsiTheme="majorHAnsi" w:cstheme="majorBidi"/>
          <w:bCs/>
          <w:szCs w:val="32"/>
        </w:rPr>
        <w:t xml:space="preserve"> SMC</w:t>
      </w:r>
      <w:r w:rsidR="00616F53" w:rsidRPr="00AB47C9">
        <w:rPr>
          <w:rFonts w:asciiTheme="majorHAnsi" w:eastAsiaTheme="majorEastAsia" w:hAnsiTheme="majorHAnsi" w:cstheme="majorBidi"/>
          <w:bCs/>
          <w:szCs w:val="32"/>
        </w:rPr>
        <w:t xml:space="preserve"> </w:t>
      </w:r>
      <w:r w:rsidR="00D262A1">
        <w:rPr>
          <w:rFonts w:asciiTheme="majorHAnsi" w:eastAsiaTheme="majorEastAsia" w:hAnsiTheme="majorHAnsi" w:cstheme="majorBidi"/>
          <w:bCs/>
          <w:szCs w:val="32"/>
        </w:rPr>
        <w:t xml:space="preserve">seine </w:t>
      </w:r>
      <w:r w:rsidR="00616F53" w:rsidRPr="00AB47C9">
        <w:rPr>
          <w:rFonts w:asciiTheme="majorHAnsi" w:eastAsiaTheme="majorEastAsia" w:hAnsiTheme="majorHAnsi" w:cstheme="majorBidi"/>
          <w:bCs/>
          <w:szCs w:val="32"/>
        </w:rPr>
        <w:t>digitale</w:t>
      </w:r>
      <w:r w:rsidR="00D262A1">
        <w:rPr>
          <w:rFonts w:asciiTheme="majorHAnsi" w:eastAsiaTheme="majorEastAsia" w:hAnsiTheme="majorHAnsi" w:cstheme="majorBidi"/>
          <w:bCs/>
          <w:szCs w:val="32"/>
        </w:rPr>
        <w:t>n</w:t>
      </w:r>
      <w:r w:rsidR="00523D7C">
        <w:rPr>
          <w:rFonts w:asciiTheme="majorHAnsi" w:eastAsiaTheme="majorEastAsia" w:hAnsiTheme="majorHAnsi" w:cstheme="majorBidi"/>
          <w:bCs/>
          <w:szCs w:val="32"/>
        </w:rPr>
        <w:t xml:space="preserve"> </w:t>
      </w:r>
      <w:r w:rsidR="00616F53" w:rsidRPr="00AB47C9">
        <w:rPr>
          <w:rFonts w:asciiTheme="majorHAnsi" w:eastAsiaTheme="majorEastAsia" w:hAnsiTheme="majorHAnsi" w:cstheme="majorBidi"/>
          <w:bCs/>
          <w:szCs w:val="32"/>
        </w:rPr>
        <w:t xml:space="preserve">Durchflussschalter </w:t>
      </w:r>
      <w:r w:rsidR="00523D7C">
        <w:rPr>
          <w:rFonts w:asciiTheme="majorHAnsi" w:eastAsiaTheme="majorEastAsia" w:hAnsiTheme="majorHAnsi" w:cstheme="majorBidi"/>
          <w:bCs/>
          <w:szCs w:val="32"/>
        </w:rPr>
        <w:t>an</w:t>
      </w:r>
      <w:r w:rsidR="00D262A1">
        <w:rPr>
          <w:rFonts w:asciiTheme="majorHAnsi" w:eastAsiaTheme="majorEastAsia" w:hAnsiTheme="majorHAnsi" w:cstheme="majorBidi"/>
          <w:bCs/>
          <w:szCs w:val="32"/>
        </w:rPr>
        <w:t xml:space="preserve">, </w:t>
      </w:r>
      <w:r w:rsidR="00454FC3">
        <w:rPr>
          <w:rFonts w:asciiTheme="majorHAnsi" w:eastAsiaTheme="majorEastAsia" w:hAnsiTheme="majorHAnsi" w:cstheme="majorBidi"/>
          <w:bCs/>
          <w:szCs w:val="32"/>
        </w:rPr>
        <w:t>die</w:t>
      </w:r>
      <w:r w:rsidR="007E4664">
        <w:rPr>
          <w:rFonts w:asciiTheme="majorHAnsi" w:eastAsiaTheme="majorEastAsia" w:hAnsiTheme="majorHAnsi" w:cstheme="majorBidi"/>
          <w:bCs/>
          <w:szCs w:val="32"/>
        </w:rPr>
        <w:t xml:space="preserve"> </w:t>
      </w:r>
      <w:r w:rsidR="00CB6DB9">
        <w:rPr>
          <w:rFonts w:asciiTheme="majorHAnsi" w:eastAsiaTheme="majorEastAsia" w:hAnsiTheme="majorHAnsi" w:cstheme="majorBidi"/>
          <w:bCs/>
          <w:szCs w:val="32"/>
        </w:rPr>
        <w:t>mit der</w:t>
      </w:r>
      <w:r w:rsidR="009775CB">
        <w:rPr>
          <w:rFonts w:asciiTheme="majorHAnsi" w:eastAsiaTheme="majorEastAsia" w:hAnsiTheme="majorHAnsi" w:cstheme="majorBidi"/>
          <w:bCs/>
          <w:szCs w:val="32"/>
        </w:rPr>
        <w:t xml:space="preserve"> </w:t>
      </w:r>
      <w:r w:rsidR="007E4664" w:rsidRPr="00B74290">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#H</w:t>
      </w:r>
      <w:r w:rsidR="007E4664" w:rsidRPr="00B74290">
        <w:rPr>
          <w:rFonts w:asciiTheme="majorHAnsi" w:eastAsiaTheme="majorEastAsia" w:hAnsiTheme="majorHAnsi" w:cstheme="majorBidi"/>
          <w:szCs w:val="32"/>
        </w:rPr>
        <w:t xml:space="preserve"> </w:t>
      </w:r>
      <w:r w:rsidR="00CB6DB9" w:rsidRPr="00B74290">
        <w:rPr>
          <w:rFonts w:asciiTheme="majorHAnsi" w:eastAsiaTheme="majorEastAsia" w:hAnsiTheme="majorHAnsi" w:cstheme="majorBidi"/>
          <w:szCs w:val="32"/>
        </w:rPr>
        <w:t xml:space="preserve">um eine </w:t>
      </w:r>
      <w:r w:rsidR="00454FC3" w:rsidRPr="00B74290">
        <w:rPr>
          <w:rFonts w:asciiTheme="majorHAnsi" w:eastAsiaTheme="majorEastAsia" w:hAnsiTheme="majorHAnsi" w:cstheme="majorBidi"/>
          <w:szCs w:val="32"/>
        </w:rPr>
        <w:t>neue</w:t>
      </w:r>
      <w:r w:rsidR="00454FC3" w:rsidRPr="007E4664">
        <w:rPr>
          <w:rFonts w:asciiTheme="majorHAnsi" w:eastAsiaTheme="majorEastAsia" w:hAnsiTheme="majorHAnsi" w:cstheme="majorBidi"/>
          <w:bCs/>
          <w:szCs w:val="32"/>
        </w:rPr>
        <w:t xml:space="preserve"> </w:t>
      </w:r>
      <w:r w:rsidR="00CB6DB9" w:rsidRPr="00CB6DB9">
        <w:rPr>
          <w:rFonts w:asciiTheme="majorHAnsi" w:eastAsiaTheme="majorEastAsia" w:hAnsiTheme="majorHAnsi" w:cstheme="majorBidi"/>
          <w:bCs/>
          <w:szCs w:val="32"/>
        </w:rPr>
        <w:t>Komplettlösung</w:t>
      </w:r>
      <w:r w:rsidR="00CB6DB9">
        <w:rPr>
          <w:rFonts w:asciiTheme="majorHAnsi" w:eastAsiaTheme="majorEastAsia" w:hAnsiTheme="majorHAnsi" w:cstheme="majorBidi"/>
          <w:b/>
          <w:bCs/>
          <w:szCs w:val="32"/>
        </w:rPr>
        <w:t xml:space="preserve"> </w:t>
      </w:r>
      <w:r w:rsidR="007E4664">
        <w:rPr>
          <w:rFonts w:asciiTheme="majorHAnsi" w:eastAsiaTheme="majorEastAsia" w:hAnsiTheme="majorHAnsi" w:cstheme="majorBidi"/>
          <w:bCs/>
          <w:szCs w:val="32"/>
        </w:rPr>
        <w:t>erweitert wurden</w:t>
      </w:r>
      <w:r w:rsidR="00CB6DB9">
        <w:rPr>
          <w:rFonts w:asciiTheme="majorHAnsi" w:eastAsiaTheme="majorEastAsia" w:hAnsiTheme="majorHAnsi" w:cstheme="majorBidi"/>
          <w:bCs/>
          <w:szCs w:val="32"/>
        </w:rPr>
        <w:t xml:space="preserve">. </w:t>
      </w:r>
      <w:r w:rsidR="00EC4DA9">
        <w:rPr>
          <w:rFonts w:asciiTheme="majorHAnsi" w:eastAsiaTheme="majorEastAsia" w:hAnsiTheme="majorHAnsi" w:cstheme="majorBidi"/>
          <w:bCs/>
          <w:szCs w:val="32"/>
        </w:rPr>
        <w:t>Damit</w:t>
      </w:r>
      <w:r w:rsidR="00CB6DB9">
        <w:rPr>
          <w:rFonts w:asciiTheme="majorHAnsi" w:eastAsiaTheme="majorEastAsia" w:hAnsiTheme="majorHAnsi" w:cstheme="majorBidi"/>
          <w:bCs/>
          <w:szCs w:val="32"/>
        </w:rPr>
        <w:t xml:space="preserve"> stehen</w:t>
      </w:r>
      <w:r w:rsidR="009775CB">
        <w:rPr>
          <w:rFonts w:asciiTheme="majorHAnsi" w:eastAsiaTheme="majorEastAsia" w:hAnsiTheme="majorHAnsi" w:cstheme="majorBidi"/>
          <w:bCs/>
          <w:szCs w:val="32"/>
        </w:rPr>
        <w:t xml:space="preserve"> in der </w:t>
      </w:r>
      <w:r w:rsidR="00454FC3">
        <w:rPr>
          <w:rFonts w:asciiTheme="majorHAnsi" w:eastAsiaTheme="majorEastAsia" w:hAnsiTheme="majorHAnsi" w:cstheme="majorBidi"/>
          <w:bCs/>
          <w:szCs w:val="32"/>
        </w:rPr>
        <w:t xml:space="preserve">bewährten </w:t>
      </w:r>
      <w:r w:rsidR="009775CB">
        <w:rPr>
          <w:rFonts w:asciiTheme="majorHAnsi" w:eastAsiaTheme="majorEastAsia" w:hAnsiTheme="majorHAnsi" w:cstheme="majorBidi"/>
          <w:bCs/>
          <w:szCs w:val="32"/>
        </w:rPr>
        <w:t>Serie PF3A#H</w:t>
      </w:r>
      <w:r w:rsidR="004F02F6">
        <w:rPr>
          <w:rFonts w:asciiTheme="majorHAnsi" w:eastAsiaTheme="majorEastAsia" w:hAnsiTheme="majorHAnsi" w:cstheme="majorBidi"/>
          <w:bCs/>
          <w:szCs w:val="32"/>
        </w:rPr>
        <w:t xml:space="preserve"> nun</w:t>
      </w:r>
      <w:r w:rsidR="009775CB">
        <w:rPr>
          <w:rFonts w:asciiTheme="majorHAnsi" w:eastAsiaTheme="majorEastAsia" w:hAnsiTheme="majorHAnsi" w:cstheme="majorBidi"/>
          <w:bCs/>
          <w:szCs w:val="32"/>
        </w:rPr>
        <w:t xml:space="preserve"> drei Varianten </w:t>
      </w:r>
      <w:r w:rsidR="00CB6DB9">
        <w:rPr>
          <w:rFonts w:asciiTheme="majorHAnsi" w:eastAsiaTheme="majorEastAsia" w:hAnsiTheme="majorHAnsi" w:cstheme="majorBidi"/>
          <w:bCs/>
          <w:szCs w:val="32"/>
        </w:rPr>
        <w:t>bereit</w:t>
      </w:r>
      <w:r w:rsidR="009775CB">
        <w:rPr>
          <w:rFonts w:asciiTheme="majorHAnsi" w:eastAsiaTheme="majorEastAsia" w:hAnsiTheme="majorHAnsi" w:cstheme="majorBidi"/>
          <w:bCs/>
          <w:szCs w:val="32"/>
        </w:rPr>
        <w:t xml:space="preserve">: </w:t>
      </w:r>
      <w:r w:rsidR="00E65B25">
        <w:rPr>
          <w:rFonts w:asciiTheme="majorHAnsi" w:eastAsiaTheme="majorEastAsia" w:hAnsiTheme="majorHAnsi" w:cstheme="majorBidi"/>
          <w:bCs/>
          <w:szCs w:val="32"/>
        </w:rPr>
        <w:t xml:space="preserve">PF3A7#H </w:t>
      </w:r>
      <w:r w:rsidR="003814C5">
        <w:rPr>
          <w:rFonts w:asciiTheme="majorHAnsi" w:eastAsiaTheme="majorEastAsia" w:hAnsiTheme="majorHAnsi" w:cstheme="majorBidi"/>
          <w:bCs/>
          <w:szCs w:val="32"/>
        </w:rPr>
        <w:t xml:space="preserve">als Rohrversion bis </w:t>
      </w:r>
      <w:r w:rsidR="009775CB">
        <w:rPr>
          <w:rFonts w:asciiTheme="majorHAnsi" w:eastAsiaTheme="majorEastAsia" w:hAnsiTheme="majorHAnsi" w:cstheme="majorBidi"/>
          <w:bCs/>
          <w:szCs w:val="32"/>
        </w:rPr>
        <w:t>12000 l/min</w:t>
      </w:r>
      <w:r w:rsidR="00EC4DA9">
        <w:rPr>
          <w:rFonts w:asciiTheme="majorHAnsi" w:eastAsiaTheme="majorEastAsia" w:hAnsiTheme="majorHAnsi" w:cstheme="majorBidi"/>
          <w:bCs/>
          <w:szCs w:val="32"/>
        </w:rPr>
        <w:t xml:space="preserve"> und </w:t>
      </w:r>
      <w:r w:rsidR="00FA6C97">
        <w:rPr>
          <w:rFonts w:asciiTheme="majorHAnsi" w:eastAsiaTheme="majorEastAsia" w:hAnsiTheme="majorHAnsi" w:cstheme="majorBidi"/>
          <w:bCs/>
          <w:szCs w:val="32"/>
        </w:rPr>
        <w:t xml:space="preserve">als </w:t>
      </w:r>
      <w:r w:rsidR="004F02F6">
        <w:rPr>
          <w:rFonts w:asciiTheme="majorHAnsi" w:eastAsiaTheme="majorEastAsia" w:hAnsiTheme="majorHAnsi" w:cstheme="majorBidi"/>
          <w:bCs/>
          <w:szCs w:val="32"/>
        </w:rPr>
        <w:t xml:space="preserve">modulare </w:t>
      </w:r>
      <w:r w:rsidR="002E09D9">
        <w:rPr>
          <w:rFonts w:asciiTheme="majorHAnsi" w:eastAsiaTheme="majorEastAsia" w:hAnsiTheme="majorHAnsi" w:cstheme="majorBidi"/>
          <w:bCs/>
          <w:szCs w:val="32"/>
        </w:rPr>
        <w:t>Version</w:t>
      </w:r>
      <w:r w:rsidR="00E65B25">
        <w:rPr>
          <w:rFonts w:asciiTheme="majorHAnsi" w:eastAsiaTheme="majorEastAsia" w:hAnsiTheme="majorHAnsi" w:cstheme="majorBidi"/>
          <w:bCs/>
          <w:szCs w:val="32"/>
        </w:rPr>
        <w:t xml:space="preserve"> </w:t>
      </w:r>
      <w:r w:rsidR="004F02F6">
        <w:rPr>
          <w:rFonts w:asciiTheme="majorHAnsi" w:eastAsiaTheme="majorEastAsia" w:hAnsiTheme="majorHAnsi" w:cstheme="majorBidi"/>
          <w:bCs/>
          <w:szCs w:val="32"/>
        </w:rPr>
        <w:t xml:space="preserve">bis 2000 l/min </w:t>
      </w:r>
      <w:r w:rsidR="006F70CC">
        <w:rPr>
          <w:rFonts w:asciiTheme="majorHAnsi" w:eastAsiaTheme="majorEastAsia" w:hAnsiTheme="majorHAnsi" w:cstheme="majorBidi"/>
          <w:bCs/>
          <w:szCs w:val="32"/>
        </w:rPr>
        <w:t>sowie</w:t>
      </w:r>
      <w:r w:rsidR="004F02F6">
        <w:rPr>
          <w:rFonts w:asciiTheme="majorHAnsi" w:eastAsiaTheme="majorEastAsia" w:hAnsiTheme="majorHAnsi" w:cstheme="majorBidi"/>
          <w:bCs/>
          <w:szCs w:val="32"/>
        </w:rPr>
        <w:t xml:space="preserve"> die jetzt eingeführte </w:t>
      </w:r>
      <w:r w:rsidR="00E65B25">
        <w:rPr>
          <w:rFonts w:asciiTheme="majorHAnsi" w:eastAsiaTheme="majorEastAsia" w:hAnsiTheme="majorHAnsi" w:cstheme="majorBidi"/>
          <w:bCs/>
          <w:szCs w:val="32"/>
        </w:rPr>
        <w:t xml:space="preserve">modulare </w:t>
      </w:r>
      <w:r w:rsidR="004F02F6">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#H</w:t>
      </w:r>
      <w:r w:rsidR="004F02F6">
        <w:rPr>
          <w:rFonts w:asciiTheme="majorHAnsi" w:eastAsiaTheme="majorEastAsia" w:hAnsiTheme="majorHAnsi" w:cstheme="majorBidi"/>
          <w:bCs/>
          <w:szCs w:val="32"/>
        </w:rPr>
        <w:t xml:space="preserve">, die </w:t>
      </w:r>
      <w:r w:rsidR="00FA6C97">
        <w:rPr>
          <w:rFonts w:asciiTheme="majorHAnsi" w:eastAsiaTheme="majorEastAsia" w:hAnsiTheme="majorHAnsi" w:cstheme="majorBidi"/>
          <w:bCs/>
          <w:szCs w:val="32"/>
        </w:rPr>
        <w:t>auch</w:t>
      </w:r>
      <w:r w:rsidR="004F02F6">
        <w:rPr>
          <w:rFonts w:asciiTheme="majorHAnsi" w:eastAsiaTheme="majorEastAsia" w:hAnsiTheme="majorHAnsi" w:cstheme="majorBidi"/>
          <w:bCs/>
          <w:szCs w:val="32"/>
        </w:rPr>
        <w:t xml:space="preserve"> 2000 l/min erreicht </w:t>
      </w:r>
      <w:r w:rsidR="00E65B25">
        <w:rPr>
          <w:rFonts w:asciiTheme="majorHAnsi" w:eastAsiaTheme="majorEastAsia" w:hAnsiTheme="majorHAnsi" w:cstheme="majorBidi"/>
          <w:bCs/>
          <w:szCs w:val="32"/>
        </w:rPr>
        <w:t xml:space="preserve">– und darüber hinaus auf </w:t>
      </w:r>
      <w:r w:rsidR="0058084B">
        <w:rPr>
          <w:rFonts w:asciiTheme="majorHAnsi" w:eastAsiaTheme="majorEastAsia" w:hAnsiTheme="majorHAnsi" w:cstheme="majorBidi"/>
          <w:bCs/>
          <w:szCs w:val="32"/>
        </w:rPr>
        <w:t>einem</w:t>
      </w:r>
      <w:r w:rsidR="00E65B25">
        <w:rPr>
          <w:rFonts w:asciiTheme="majorHAnsi" w:eastAsiaTheme="majorEastAsia" w:hAnsiTheme="majorHAnsi" w:cstheme="majorBidi"/>
          <w:bCs/>
          <w:szCs w:val="32"/>
        </w:rPr>
        <w:t xml:space="preserve"> </w:t>
      </w:r>
      <w:r w:rsidR="0058084B">
        <w:rPr>
          <w:rFonts w:asciiTheme="majorHAnsi" w:eastAsiaTheme="majorEastAsia" w:hAnsiTheme="majorHAnsi" w:cstheme="majorBidi"/>
          <w:bCs/>
          <w:szCs w:val="32"/>
        </w:rPr>
        <w:t>einfach</w:t>
      </w:r>
      <w:r w:rsidR="00454FC3">
        <w:rPr>
          <w:rFonts w:asciiTheme="majorHAnsi" w:eastAsiaTheme="majorEastAsia" w:hAnsiTheme="majorHAnsi" w:cstheme="majorBidi"/>
          <w:bCs/>
          <w:szCs w:val="32"/>
        </w:rPr>
        <w:t xml:space="preserve"> </w:t>
      </w:r>
      <w:proofErr w:type="spellStart"/>
      <w:r w:rsidR="00FB545B">
        <w:rPr>
          <w:rFonts w:asciiTheme="majorHAnsi" w:eastAsiaTheme="majorEastAsia" w:hAnsiTheme="majorHAnsi" w:cstheme="majorBidi"/>
          <w:bCs/>
          <w:szCs w:val="32"/>
        </w:rPr>
        <w:t>ables</w:t>
      </w:r>
      <w:proofErr w:type="spellEnd"/>
      <w:r w:rsidR="0058084B">
        <w:rPr>
          <w:rFonts w:asciiTheme="majorHAnsi" w:eastAsiaTheme="majorEastAsia" w:hAnsiTheme="majorHAnsi" w:cstheme="majorBidi"/>
          <w:bCs/>
          <w:szCs w:val="32"/>
        </w:rPr>
        <w:t xml:space="preserve">- und </w:t>
      </w:r>
      <w:r w:rsidR="006F70CC">
        <w:rPr>
          <w:rFonts w:asciiTheme="majorHAnsi" w:eastAsiaTheme="majorEastAsia" w:hAnsiTheme="majorHAnsi" w:cstheme="majorBidi"/>
          <w:bCs/>
          <w:szCs w:val="32"/>
        </w:rPr>
        <w:t>bedienbare</w:t>
      </w:r>
      <w:r w:rsidR="0058084B">
        <w:rPr>
          <w:rFonts w:asciiTheme="majorHAnsi" w:eastAsiaTheme="majorEastAsia" w:hAnsiTheme="majorHAnsi" w:cstheme="majorBidi"/>
          <w:bCs/>
          <w:szCs w:val="32"/>
        </w:rPr>
        <w:t>n</w:t>
      </w:r>
      <w:r w:rsidR="006F70CC">
        <w:rPr>
          <w:rFonts w:asciiTheme="majorHAnsi" w:eastAsiaTheme="majorEastAsia" w:hAnsiTheme="majorHAnsi" w:cstheme="majorBidi"/>
          <w:bCs/>
          <w:szCs w:val="32"/>
        </w:rPr>
        <w:t xml:space="preserve"> </w:t>
      </w:r>
      <w:r w:rsidR="00E65B25">
        <w:rPr>
          <w:rFonts w:asciiTheme="majorHAnsi" w:eastAsiaTheme="majorEastAsia" w:hAnsiTheme="majorHAnsi" w:cstheme="majorBidi"/>
          <w:bCs/>
          <w:szCs w:val="32"/>
        </w:rPr>
        <w:t xml:space="preserve">Display </w:t>
      </w:r>
      <w:r w:rsidR="006F70CC">
        <w:rPr>
          <w:rFonts w:asciiTheme="majorHAnsi" w:eastAsiaTheme="majorEastAsia" w:hAnsiTheme="majorHAnsi" w:cstheme="majorBidi"/>
          <w:bCs/>
          <w:szCs w:val="32"/>
        </w:rPr>
        <w:t>gleichzeitig</w:t>
      </w:r>
      <w:r w:rsidR="00E65B25">
        <w:rPr>
          <w:rFonts w:asciiTheme="majorHAnsi" w:eastAsiaTheme="majorEastAsia" w:hAnsiTheme="majorHAnsi" w:cstheme="majorBidi"/>
          <w:bCs/>
          <w:szCs w:val="32"/>
        </w:rPr>
        <w:t xml:space="preserve"> </w:t>
      </w:r>
      <w:r w:rsidR="004F02F6">
        <w:rPr>
          <w:rFonts w:asciiTheme="majorHAnsi" w:eastAsiaTheme="majorEastAsia" w:hAnsiTheme="majorHAnsi" w:cstheme="majorBidi"/>
          <w:bCs/>
          <w:szCs w:val="32"/>
        </w:rPr>
        <w:t xml:space="preserve">Druck </w:t>
      </w:r>
      <w:r w:rsidR="00EC4DA9">
        <w:rPr>
          <w:rFonts w:asciiTheme="majorHAnsi" w:eastAsiaTheme="majorEastAsia" w:hAnsiTheme="majorHAnsi" w:cstheme="majorBidi"/>
          <w:bCs/>
          <w:szCs w:val="32"/>
        </w:rPr>
        <w:t>und</w:t>
      </w:r>
      <w:r w:rsidR="004F02F6">
        <w:rPr>
          <w:rFonts w:asciiTheme="majorHAnsi" w:eastAsiaTheme="majorEastAsia" w:hAnsiTheme="majorHAnsi" w:cstheme="majorBidi"/>
          <w:bCs/>
          <w:szCs w:val="32"/>
        </w:rPr>
        <w:t xml:space="preserve"> Temperatur </w:t>
      </w:r>
      <w:r w:rsidR="006F70CC">
        <w:rPr>
          <w:rFonts w:asciiTheme="majorHAnsi" w:eastAsiaTheme="majorEastAsia" w:hAnsiTheme="majorHAnsi" w:cstheme="majorBidi"/>
          <w:bCs/>
          <w:szCs w:val="32"/>
        </w:rPr>
        <w:t>anzeigen kann</w:t>
      </w:r>
      <w:r w:rsidR="004F02F6">
        <w:rPr>
          <w:rFonts w:asciiTheme="majorHAnsi" w:eastAsiaTheme="majorEastAsia" w:hAnsiTheme="majorHAnsi" w:cstheme="majorBidi"/>
          <w:bCs/>
          <w:szCs w:val="32"/>
        </w:rPr>
        <w:t>.</w:t>
      </w:r>
    </w:p>
    <w:p w14:paraId="2BA16166" w14:textId="029D1366" w:rsidR="005401AE" w:rsidRDefault="005401AE" w:rsidP="00616F53">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rPr>
        <w:t xml:space="preserve">Effiziente Kombination von </w:t>
      </w:r>
      <w:r w:rsidR="007E4664">
        <w:rPr>
          <w:rFonts w:asciiTheme="majorHAnsi" w:eastAsiaTheme="majorEastAsia" w:hAnsiTheme="majorHAnsi" w:cstheme="majorBidi"/>
          <w:b/>
          <w:szCs w:val="32"/>
        </w:rPr>
        <w:t>Druck- und Temperatursensor</w:t>
      </w:r>
      <w:r w:rsidR="00616F53">
        <w:rPr>
          <w:rFonts w:asciiTheme="majorHAnsi" w:eastAsiaTheme="majorEastAsia" w:hAnsiTheme="majorHAnsi" w:cstheme="majorBidi"/>
          <w:bCs/>
          <w:szCs w:val="32"/>
        </w:rPr>
        <w:br/>
      </w:r>
      <w:r w:rsidR="007E4664">
        <w:rPr>
          <w:rFonts w:asciiTheme="majorHAnsi" w:eastAsiaTheme="majorEastAsia" w:hAnsiTheme="majorHAnsi" w:cstheme="majorBidi"/>
          <w:bCs/>
          <w:szCs w:val="32"/>
        </w:rPr>
        <w:t>Dafür verantwortlich zeichne</w:t>
      </w:r>
      <w:r w:rsidR="003C4F95">
        <w:rPr>
          <w:rFonts w:asciiTheme="majorHAnsi" w:eastAsiaTheme="majorEastAsia" w:hAnsiTheme="majorHAnsi" w:cstheme="majorBidi"/>
          <w:bCs/>
          <w:szCs w:val="32"/>
        </w:rPr>
        <w:t xml:space="preserve">n integrierte </w:t>
      </w:r>
      <w:r w:rsidR="007F16CC">
        <w:rPr>
          <w:rFonts w:asciiTheme="majorHAnsi" w:eastAsiaTheme="majorEastAsia" w:hAnsiTheme="majorHAnsi" w:cstheme="majorBidi"/>
          <w:bCs/>
          <w:szCs w:val="32"/>
        </w:rPr>
        <w:t>Druck- und Temperaturs</w:t>
      </w:r>
      <w:r w:rsidR="002E09D9">
        <w:rPr>
          <w:rFonts w:asciiTheme="majorHAnsi" w:eastAsiaTheme="majorEastAsia" w:hAnsiTheme="majorHAnsi" w:cstheme="majorBidi"/>
          <w:bCs/>
          <w:szCs w:val="32"/>
        </w:rPr>
        <w:t xml:space="preserve">ensoren, </w:t>
      </w:r>
      <w:r w:rsidR="00FA6C97">
        <w:rPr>
          <w:rFonts w:asciiTheme="majorHAnsi" w:eastAsiaTheme="majorEastAsia" w:hAnsiTheme="majorHAnsi" w:cstheme="majorBidi"/>
          <w:bCs/>
          <w:szCs w:val="32"/>
        </w:rPr>
        <w:t xml:space="preserve">welche die gleichzeitige Messung </w:t>
      </w:r>
      <w:r w:rsidR="00EC4DA9">
        <w:rPr>
          <w:rFonts w:asciiTheme="majorHAnsi" w:eastAsiaTheme="majorEastAsia" w:hAnsiTheme="majorHAnsi" w:cstheme="majorBidi"/>
          <w:bCs/>
          <w:szCs w:val="32"/>
        </w:rPr>
        <w:t>der</w:t>
      </w:r>
      <w:r w:rsidR="00FA6C97">
        <w:rPr>
          <w:rFonts w:asciiTheme="majorHAnsi" w:eastAsiaTheme="majorEastAsia" w:hAnsiTheme="majorHAnsi" w:cstheme="majorBidi"/>
          <w:bCs/>
          <w:szCs w:val="32"/>
        </w:rPr>
        <w:t xml:space="preserve"> </w:t>
      </w:r>
      <w:r w:rsidR="00EC4DA9">
        <w:rPr>
          <w:rFonts w:asciiTheme="majorHAnsi" w:eastAsiaTheme="majorEastAsia" w:hAnsiTheme="majorHAnsi" w:cstheme="majorBidi"/>
          <w:bCs/>
          <w:szCs w:val="32"/>
        </w:rPr>
        <w:t xml:space="preserve">momentanen und kumulierten </w:t>
      </w:r>
      <w:r w:rsidR="00FA6C97">
        <w:rPr>
          <w:rFonts w:asciiTheme="majorHAnsi" w:eastAsiaTheme="majorEastAsia" w:hAnsiTheme="majorHAnsi" w:cstheme="majorBidi"/>
          <w:bCs/>
          <w:szCs w:val="32"/>
        </w:rPr>
        <w:t>Durchflus</w:t>
      </w:r>
      <w:r w:rsidR="00EC4DA9">
        <w:rPr>
          <w:rFonts w:asciiTheme="majorHAnsi" w:eastAsiaTheme="majorEastAsia" w:hAnsiTheme="majorHAnsi" w:cstheme="majorBidi"/>
          <w:bCs/>
          <w:szCs w:val="32"/>
        </w:rPr>
        <w:t xml:space="preserve">srate sowie </w:t>
      </w:r>
      <w:r w:rsidR="00FA6C97">
        <w:rPr>
          <w:rFonts w:asciiTheme="majorHAnsi" w:eastAsiaTheme="majorEastAsia" w:hAnsiTheme="majorHAnsi" w:cstheme="majorBidi"/>
          <w:bCs/>
          <w:szCs w:val="32"/>
        </w:rPr>
        <w:t xml:space="preserve">Druck und Temperatur </w:t>
      </w:r>
      <w:r w:rsidR="00EC4DA9">
        <w:rPr>
          <w:rFonts w:asciiTheme="majorHAnsi" w:eastAsiaTheme="majorEastAsia" w:hAnsiTheme="majorHAnsi" w:cstheme="majorBidi"/>
          <w:bCs/>
          <w:szCs w:val="32"/>
        </w:rPr>
        <w:t>ermöglichen</w:t>
      </w:r>
      <w:r w:rsidR="0051644C">
        <w:rPr>
          <w:rFonts w:asciiTheme="majorHAnsi" w:eastAsiaTheme="majorEastAsia" w:hAnsiTheme="majorHAnsi" w:cstheme="majorBidi"/>
          <w:bCs/>
          <w:szCs w:val="32"/>
        </w:rPr>
        <w:t>.</w:t>
      </w:r>
      <w:r w:rsidR="00FA6C97">
        <w:rPr>
          <w:rFonts w:asciiTheme="majorHAnsi" w:eastAsiaTheme="majorEastAsia" w:hAnsiTheme="majorHAnsi" w:cstheme="majorBidi"/>
          <w:bCs/>
          <w:szCs w:val="32"/>
        </w:rPr>
        <w:t xml:space="preserve"> </w:t>
      </w:r>
      <w:r w:rsidR="0051644C">
        <w:rPr>
          <w:rFonts w:asciiTheme="majorHAnsi" w:eastAsiaTheme="majorEastAsia" w:hAnsiTheme="majorHAnsi" w:cstheme="majorBidi"/>
          <w:bCs/>
          <w:szCs w:val="32"/>
        </w:rPr>
        <w:t>Diese</w:t>
      </w:r>
      <w:r w:rsidR="00FA6C97">
        <w:rPr>
          <w:rFonts w:asciiTheme="majorHAnsi" w:eastAsiaTheme="majorEastAsia" w:hAnsiTheme="majorHAnsi" w:cstheme="majorBidi"/>
          <w:bCs/>
          <w:szCs w:val="32"/>
        </w:rPr>
        <w:t xml:space="preserve"> </w:t>
      </w:r>
      <w:r w:rsidR="00EC4DA9">
        <w:rPr>
          <w:rFonts w:asciiTheme="majorHAnsi" w:eastAsiaTheme="majorEastAsia" w:hAnsiTheme="majorHAnsi" w:cstheme="majorBidi"/>
          <w:bCs/>
          <w:szCs w:val="32"/>
        </w:rPr>
        <w:t xml:space="preserve">Werte </w:t>
      </w:r>
      <w:r w:rsidR="0051644C">
        <w:rPr>
          <w:rFonts w:asciiTheme="majorHAnsi" w:eastAsiaTheme="majorEastAsia" w:hAnsiTheme="majorHAnsi" w:cstheme="majorBidi"/>
          <w:bCs/>
          <w:szCs w:val="32"/>
        </w:rPr>
        <w:t xml:space="preserve">werden </w:t>
      </w:r>
      <w:r w:rsidR="007F16CC">
        <w:rPr>
          <w:rFonts w:asciiTheme="majorHAnsi" w:eastAsiaTheme="majorEastAsia" w:hAnsiTheme="majorHAnsi" w:cstheme="majorBidi"/>
          <w:bCs/>
          <w:szCs w:val="32"/>
        </w:rPr>
        <w:t xml:space="preserve">auf </w:t>
      </w:r>
      <w:r w:rsidR="00FA6C97">
        <w:rPr>
          <w:rFonts w:asciiTheme="majorHAnsi" w:eastAsiaTheme="majorEastAsia" w:hAnsiTheme="majorHAnsi" w:cstheme="majorBidi"/>
          <w:bCs/>
          <w:szCs w:val="32"/>
        </w:rPr>
        <w:t>einer</w:t>
      </w:r>
      <w:r w:rsidR="007F16CC">
        <w:rPr>
          <w:rFonts w:asciiTheme="majorHAnsi" w:eastAsiaTheme="majorEastAsia" w:hAnsiTheme="majorHAnsi" w:cstheme="majorBidi"/>
          <w:bCs/>
          <w:szCs w:val="32"/>
        </w:rPr>
        <w:t xml:space="preserve"> </w:t>
      </w:r>
      <w:r w:rsidR="00454FC3">
        <w:rPr>
          <w:rFonts w:asciiTheme="majorHAnsi" w:eastAsiaTheme="majorEastAsia" w:hAnsiTheme="majorHAnsi" w:cstheme="majorBidi"/>
          <w:bCs/>
          <w:szCs w:val="32"/>
        </w:rPr>
        <w:t xml:space="preserve">2-zeiligen, </w:t>
      </w:r>
      <w:r w:rsidR="002E09D9">
        <w:rPr>
          <w:rFonts w:asciiTheme="majorHAnsi" w:eastAsiaTheme="majorEastAsia" w:hAnsiTheme="majorHAnsi" w:cstheme="majorBidi"/>
          <w:bCs/>
          <w:szCs w:val="32"/>
        </w:rPr>
        <w:t>3-farbige</w:t>
      </w:r>
      <w:r w:rsidR="007F16CC">
        <w:rPr>
          <w:rFonts w:asciiTheme="majorHAnsi" w:eastAsiaTheme="majorEastAsia" w:hAnsiTheme="majorHAnsi" w:cstheme="majorBidi"/>
          <w:bCs/>
          <w:szCs w:val="32"/>
        </w:rPr>
        <w:t>n</w:t>
      </w:r>
      <w:r w:rsidR="00454FC3">
        <w:rPr>
          <w:rFonts w:asciiTheme="majorHAnsi" w:eastAsiaTheme="majorEastAsia" w:hAnsiTheme="majorHAnsi" w:cstheme="majorBidi"/>
          <w:bCs/>
          <w:szCs w:val="32"/>
        </w:rPr>
        <w:t xml:space="preserve"> </w:t>
      </w:r>
      <w:r w:rsidR="007F16CC">
        <w:rPr>
          <w:rFonts w:asciiTheme="majorHAnsi" w:eastAsiaTheme="majorEastAsia" w:hAnsiTheme="majorHAnsi" w:cstheme="majorBidi"/>
          <w:bCs/>
          <w:szCs w:val="32"/>
        </w:rPr>
        <w:t>und in beide Richtungen um 90° drehbaren</w:t>
      </w:r>
      <w:r w:rsidR="00454FC3">
        <w:rPr>
          <w:rFonts w:asciiTheme="majorHAnsi" w:eastAsiaTheme="majorEastAsia" w:hAnsiTheme="majorHAnsi" w:cstheme="majorBidi"/>
          <w:bCs/>
          <w:szCs w:val="32"/>
        </w:rPr>
        <w:t xml:space="preserve"> </w:t>
      </w:r>
      <w:r w:rsidR="00FA6C97">
        <w:rPr>
          <w:rFonts w:asciiTheme="majorHAnsi" w:eastAsiaTheme="majorEastAsia" w:hAnsiTheme="majorHAnsi" w:cstheme="majorBidi"/>
          <w:bCs/>
          <w:szCs w:val="32"/>
        </w:rPr>
        <w:t>Anzeige</w:t>
      </w:r>
      <w:r w:rsidR="00056C94">
        <w:rPr>
          <w:rFonts w:asciiTheme="majorHAnsi" w:eastAsiaTheme="majorEastAsia" w:hAnsiTheme="majorHAnsi" w:cstheme="majorBidi"/>
          <w:bCs/>
          <w:szCs w:val="32"/>
        </w:rPr>
        <w:t xml:space="preserve"> </w:t>
      </w:r>
      <w:r w:rsidR="0051644C">
        <w:rPr>
          <w:rFonts w:asciiTheme="majorHAnsi" w:eastAsiaTheme="majorEastAsia" w:hAnsiTheme="majorHAnsi" w:cstheme="majorBidi"/>
          <w:bCs/>
          <w:szCs w:val="32"/>
        </w:rPr>
        <w:t>visualisiert</w:t>
      </w:r>
      <w:r w:rsidR="002E09D9">
        <w:rPr>
          <w:rFonts w:asciiTheme="majorHAnsi" w:eastAsiaTheme="majorEastAsia" w:hAnsiTheme="majorHAnsi" w:cstheme="majorBidi"/>
          <w:bCs/>
          <w:szCs w:val="32"/>
        </w:rPr>
        <w:t xml:space="preserve">. </w:t>
      </w:r>
      <w:r w:rsidR="003C4F95">
        <w:rPr>
          <w:rFonts w:asciiTheme="majorHAnsi" w:eastAsiaTheme="majorEastAsia" w:hAnsiTheme="majorHAnsi" w:cstheme="majorBidi"/>
          <w:bCs/>
          <w:szCs w:val="32"/>
        </w:rPr>
        <w:t>W</w:t>
      </w:r>
      <w:r w:rsidR="007E4664">
        <w:rPr>
          <w:rFonts w:asciiTheme="majorHAnsi" w:eastAsiaTheme="majorEastAsia" w:hAnsiTheme="majorHAnsi" w:cstheme="majorBidi"/>
          <w:bCs/>
          <w:szCs w:val="32"/>
        </w:rPr>
        <w:t>esentliche</w:t>
      </w:r>
      <w:r w:rsidR="003C4F95">
        <w:rPr>
          <w:rFonts w:asciiTheme="majorHAnsi" w:eastAsiaTheme="majorEastAsia" w:hAnsiTheme="majorHAnsi" w:cstheme="majorBidi"/>
          <w:bCs/>
          <w:szCs w:val="32"/>
        </w:rPr>
        <w:t>r</w:t>
      </w:r>
      <w:r w:rsidR="007E4664">
        <w:rPr>
          <w:rFonts w:asciiTheme="majorHAnsi" w:eastAsiaTheme="majorEastAsia" w:hAnsiTheme="majorHAnsi" w:cstheme="majorBidi"/>
          <w:bCs/>
          <w:szCs w:val="32"/>
        </w:rPr>
        <w:t xml:space="preserve"> Vorteil im Vergleich zu </w:t>
      </w:r>
      <w:r w:rsidR="002E09D9">
        <w:rPr>
          <w:rFonts w:asciiTheme="majorHAnsi" w:eastAsiaTheme="majorEastAsia" w:hAnsiTheme="majorHAnsi" w:cstheme="majorBidi"/>
          <w:bCs/>
          <w:szCs w:val="32"/>
        </w:rPr>
        <w:t>anderen</w:t>
      </w:r>
      <w:r w:rsidR="007E4664">
        <w:rPr>
          <w:rFonts w:asciiTheme="majorHAnsi" w:eastAsiaTheme="majorEastAsia" w:hAnsiTheme="majorHAnsi" w:cstheme="majorBidi"/>
          <w:bCs/>
          <w:szCs w:val="32"/>
        </w:rPr>
        <w:t xml:space="preserve"> Modellen: </w:t>
      </w:r>
      <w:r>
        <w:rPr>
          <w:rFonts w:asciiTheme="majorHAnsi" w:eastAsiaTheme="majorEastAsia" w:hAnsiTheme="majorHAnsi" w:cstheme="majorBidi"/>
          <w:bCs/>
          <w:szCs w:val="32"/>
        </w:rPr>
        <w:t xml:space="preserve">Durch </w:t>
      </w:r>
      <w:r w:rsidR="003D5117">
        <w:rPr>
          <w:rFonts w:asciiTheme="majorHAnsi" w:eastAsiaTheme="majorEastAsia" w:hAnsiTheme="majorHAnsi" w:cstheme="majorBidi"/>
          <w:bCs/>
          <w:szCs w:val="32"/>
        </w:rPr>
        <w:t>die Kombination mehrerer</w:t>
      </w:r>
      <w:r w:rsidR="003C4F95">
        <w:rPr>
          <w:rFonts w:asciiTheme="majorHAnsi" w:eastAsiaTheme="majorEastAsia" w:hAnsiTheme="majorHAnsi" w:cstheme="majorBidi"/>
          <w:bCs/>
          <w:szCs w:val="32"/>
        </w:rPr>
        <w:t xml:space="preserve"> </w:t>
      </w:r>
      <w:r>
        <w:rPr>
          <w:rFonts w:asciiTheme="majorHAnsi" w:eastAsiaTheme="majorEastAsia" w:hAnsiTheme="majorHAnsi" w:cstheme="majorBidi"/>
          <w:bCs/>
          <w:szCs w:val="32"/>
        </w:rPr>
        <w:t xml:space="preserve">Sensoren in einem </w:t>
      </w:r>
      <w:r w:rsidR="00966AC6">
        <w:rPr>
          <w:rFonts w:asciiTheme="majorHAnsi" w:eastAsiaTheme="majorEastAsia" w:hAnsiTheme="majorHAnsi" w:cstheme="majorBidi"/>
          <w:bCs/>
          <w:szCs w:val="32"/>
        </w:rPr>
        <w:t>einteilige</w:t>
      </w:r>
      <w:r w:rsidR="007F16CC">
        <w:rPr>
          <w:rFonts w:asciiTheme="majorHAnsi" w:eastAsiaTheme="majorEastAsia" w:hAnsiTheme="majorHAnsi" w:cstheme="majorBidi"/>
          <w:bCs/>
          <w:szCs w:val="32"/>
        </w:rPr>
        <w:t>n</w:t>
      </w:r>
      <w:r w:rsidR="00F16858">
        <w:rPr>
          <w:rFonts w:asciiTheme="majorHAnsi" w:eastAsiaTheme="majorEastAsia" w:hAnsiTheme="majorHAnsi" w:cstheme="majorBidi"/>
          <w:bCs/>
          <w:szCs w:val="32"/>
        </w:rPr>
        <w:t xml:space="preserve">, </w:t>
      </w:r>
      <w:r w:rsidR="007F16CC">
        <w:rPr>
          <w:rFonts w:asciiTheme="majorHAnsi" w:eastAsiaTheme="majorEastAsia" w:hAnsiTheme="majorHAnsi" w:cstheme="majorBidi"/>
          <w:bCs/>
          <w:szCs w:val="32"/>
        </w:rPr>
        <w:t>langlebigen</w:t>
      </w:r>
      <w:r w:rsidR="00966AC6">
        <w:rPr>
          <w:rFonts w:asciiTheme="majorHAnsi" w:eastAsiaTheme="majorEastAsia" w:hAnsiTheme="majorHAnsi" w:cstheme="majorBidi"/>
          <w:bCs/>
          <w:szCs w:val="32"/>
        </w:rPr>
        <w:t xml:space="preserve"> Aluminimum</w:t>
      </w:r>
      <w:r w:rsidR="00167427">
        <w:rPr>
          <w:rFonts w:asciiTheme="majorHAnsi" w:eastAsiaTheme="majorEastAsia" w:hAnsiTheme="majorHAnsi" w:cstheme="majorBidi"/>
          <w:bCs/>
          <w:szCs w:val="32"/>
        </w:rPr>
        <w:t>-Rund</w:t>
      </w:r>
      <w:r w:rsidR="00966AC6">
        <w:rPr>
          <w:rFonts w:asciiTheme="majorHAnsi" w:eastAsiaTheme="majorEastAsia" w:hAnsiTheme="majorHAnsi" w:cstheme="majorBidi"/>
          <w:bCs/>
          <w:szCs w:val="32"/>
        </w:rPr>
        <w:t>g</w:t>
      </w:r>
      <w:r>
        <w:rPr>
          <w:rFonts w:asciiTheme="majorHAnsi" w:eastAsiaTheme="majorEastAsia" w:hAnsiTheme="majorHAnsi" w:cstheme="majorBidi"/>
          <w:bCs/>
          <w:szCs w:val="32"/>
        </w:rPr>
        <w:t>ehäuse</w:t>
      </w:r>
      <w:r w:rsidR="007E4664">
        <w:rPr>
          <w:rFonts w:asciiTheme="majorHAnsi" w:eastAsiaTheme="majorEastAsia" w:hAnsiTheme="majorHAnsi" w:cstheme="majorBidi"/>
          <w:bCs/>
          <w:szCs w:val="32"/>
        </w:rPr>
        <w:t xml:space="preserve"> ist nur noch ein Gerät </w:t>
      </w:r>
      <w:r w:rsidR="003D5117">
        <w:rPr>
          <w:rFonts w:asciiTheme="majorHAnsi" w:eastAsiaTheme="majorEastAsia" w:hAnsiTheme="majorHAnsi" w:cstheme="majorBidi"/>
          <w:bCs/>
          <w:szCs w:val="32"/>
        </w:rPr>
        <w:lastRenderedPageBreak/>
        <w:t>sowie</w:t>
      </w:r>
      <w:r w:rsidR="007E4664">
        <w:rPr>
          <w:rFonts w:asciiTheme="majorHAnsi" w:eastAsiaTheme="majorEastAsia" w:hAnsiTheme="majorHAnsi" w:cstheme="majorBidi"/>
          <w:bCs/>
          <w:szCs w:val="32"/>
        </w:rPr>
        <w:t xml:space="preserve"> ein IO-Link für die Überwachung der Druckluftversorgung notwendig.</w:t>
      </w:r>
      <w:r w:rsidR="002E09D9">
        <w:rPr>
          <w:rFonts w:asciiTheme="majorHAnsi" w:eastAsiaTheme="majorEastAsia" w:hAnsiTheme="majorHAnsi" w:cstheme="majorBidi"/>
          <w:bCs/>
          <w:szCs w:val="32"/>
        </w:rPr>
        <w:t xml:space="preserve"> </w:t>
      </w:r>
      <w:r w:rsidR="00F16858">
        <w:rPr>
          <w:rFonts w:asciiTheme="majorHAnsi" w:eastAsiaTheme="majorEastAsia" w:hAnsiTheme="majorHAnsi" w:cstheme="majorBidi"/>
          <w:bCs/>
          <w:szCs w:val="32"/>
        </w:rPr>
        <w:t>D</w:t>
      </w:r>
      <w:r w:rsidR="003814C5">
        <w:rPr>
          <w:rFonts w:asciiTheme="majorHAnsi" w:eastAsiaTheme="majorEastAsia" w:hAnsiTheme="majorHAnsi" w:cstheme="majorBidi"/>
          <w:bCs/>
          <w:szCs w:val="32"/>
        </w:rPr>
        <w:t>ies</w:t>
      </w:r>
      <w:r w:rsidR="00F16858">
        <w:rPr>
          <w:rFonts w:asciiTheme="majorHAnsi" w:eastAsiaTheme="majorEastAsia" w:hAnsiTheme="majorHAnsi" w:cstheme="majorBidi"/>
          <w:bCs/>
          <w:szCs w:val="32"/>
        </w:rPr>
        <w:t xml:space="preserve"> spart Platz und Kosten,</w:t>
      </w:r>
      <w:r w:rsidR="003814C5">
        <w:rPr>
          <w:rFonts w:asciiTheme="majorHAnsi" w:eastAsiaTheme="majorEastAsia" w:hAnsiTheme="majorHAnsi" w:cstheme="majorBidi"/>
          <w:bCs/>
          <w:szCs w:val="32"/>
        </w:rPr>
        <w:t xml:space="preserve"> </w:t>
      </w:r>
      <w:r w:rsidR="003D5117">
        <w:rPr>
          <w:rFonts w:asciiTheme="majorHAnsi" w:eastAsiaTheme="majorEastAsia" w:hAnsiTheme="majorHAnsi" w:cstheme="majorBidi"/>
          <w:bCs/>
          <w:szCs w:val="32"/>
        </w:rPr>
        <w:t xml:space="preserve">unter anderem </w:t>
      </w:r>
      <w:r w:rsidR="003814C5">
        <w:rPr>
          <w:rFonts w:asciiTheme="majorHAnsi" w:eastAsiaTheme="majorEastAsia" w:hAnsiTheme="majorHAnsi" w:cstheme="majorBidi"/>
          <w:bCs/>
          <w:szCs w:val="32"/>
        </w:rPr>
        <w:t>da die</w:t>
      </w:r>
      <w:r w:rsidR="003C4F95">
        <w:rPr>
          <w:rFonts w:asciiTheme="majorHAnsi" w:eastAsiaTheme="majorEastAsia" w:hAnsiTheme="majorHAnsi" w:cstheme="majorBidi"/>
          <w:bCs/>
          <w:szCs w:val="32"/>
        </w:rPr>
        <w:t xml:space="preserve"> Anschaffung </w:t>
      </w:r>
      <w:r w:rsidR="00F16858">
        <w:rPr>
          <w:rFonts w:asciiTheme="majorHAnsi" w:eastAsiaTheme="majorEastAsia" w:hAnsiTheme="majorHAnsi" w:cstheme="majorBidi"/>
          <w:bCs/>
          <w:szCs w:val="32"/>
        </w:rPr>
        <w:t>weitere</w:t>
      </w:r>
      <w:r w:rsidR="003C4F95">
        <w:rPr>
          <w:rFonts w:asciiTheme="majorHAnsi" w:eastAsiaTheme="majorEastAsia" w:hAnsiTheme="majorHAnsi" w:cstheme="majorBidi"/>
          <w:bCs/>
          <w:szCs w:val="32"/>
        </w:rPr>
        <w:t>r</w:t>
      </w:r>
      <w:r w:rsidR="00F16858">
        <w:rPr>
          <w:rFonts w:asciiTheme="majorHAnsi" w:eastAsiaTheme="majorEastAsia" w:hAnsiTheme="majorHAnsi" w:cstheme="majorBidi"/>
          <w:bCs/>
          <w:szCs w:val="32"/>
        </w:rPr>
        <w:t xml:space="preserve"> </w:t>
      </w:r>
      <w:r w:rsidR="003814C5">
        <w:rPr>
          <w:rFonts w:asciiTheme="majorHAnsi" w:eastAsiaTheme="majorEastAsia" w:hAnsiTheme="majorHAnsi" w:cstheme="majorBidi"/>
          <w:bCs/>
          <w:szCs w:val="32"/>
        </w:rPr>
        <w:t xml:space="preserve">Schalter oder </w:t>
      </w:r>
      <w:r w:rsidR="00F16858">
        <w:rPr>
          <w:rFonts w:asciiTheme="majorHAnsi" w:eastAsiaTheme="majorEastAsia" w:hAnsiTheme="majorHAnsi" w:cstheme="majorBidi"/>
          <w:bCs/>
          <w:szCs w:val="32"/>
        </w:rPr>
        <w:t>Sensoren überflüssig</w:t>
      </w:r>
      <w:r w:rsidR="003814C5">
        <w:rPr>
          <w:rFonts w:asciiTheme="majorHAnsi" w:eastAsiaTheme="majorEastAsia" w:hAnsiTheme="majorHAnsi" w:cstheme="majorBidi"/>
          <w:bCs/>
          <w:szCs w:val="32"/>
        </w:rPr>
        <w:t xml:space="preserve"> ist</w:t>
      </w:r>
      <w:r w:rsidR="00F16858">
        <w:rPr>
          <w:rFonts w:asciiTheme="majorHAnsi" w:eastAsiaTheme="majorEastAsia" w:hAnsiTheme="majorHAnsi" w:cstheme="majorBidi"/>
          <w:bCs/>
          <w:szCs w:val="32"/>
        </w:rPr>
        <w:t>.</w:t>
      </w:r>
    </w:p>
    <w:p w14:paraId="75706AD3" w14:textId="1F0671B8" w:rsidR="005401AE" w:rsidRPr="006F70CC" w:rsidRDefault="005401AE" w:rsidP="00616F53">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Darüber hinaus</w:t>
      </w:r>
      <w:r w:rsidR="00056C94">
        <w:rPr>
          <w:rFonts w:asciiTheme="majorHAnsi" w:eastAsiaTheme="majorEastAsia" w:hAnsiTheme="majorHAnsi" w:cstheme="majorBidi"/>
          <w:bCs/>
          <w:szCs w:val="32"/>
        </w:rPr>
        <w:t xml:space="preserve"> </w:t>
      </w:r>
      <w:r w:rsidR="00B95EB7">
        <w:rPr>
          <w:rFonts w:asciiTheme="majorHAnsi" w:eastAsiaTheme="majorEastAsia" w:hAnsiTheme="majorHAnsi" w:cstheme="majorBidi"/>
          <w:bCs/>
          <w:szCs w:val="32"/>
        </w:rPr>
        <w:t>minimiert</w:t>
      </w:r>
      <w:r w:rsidR="00056C94">
        <w:rPr>
          <w:rFonts w:asciiTheme="majorHAnsi" w:eastAsiaTheme="majorEastAsia" w:hAnsiTheme="majorHAnsi" w:cstheme="majorBidi"/>
          <w:bCs/>
          <w:szCs w:val="32"/>
        </w:rPr>
        <w:t xml:space="preserve"> die</w:t>
      </w:r>
      <w:r w:rsidR="002E09D9">
        <w:rPr>
          <w:rFonts w:asciiTheme="majorHAnsi" w:eastAsiaTheme="majorEastAsia" w:hAnsiTheme="majorHAnsi" w:cstheme="majorBidi"/>
          <w:bCs/>
          <w:szCs w:val="32"/>
        </w:rPr>
        <w:t xml:space="preserve"> </w:t>
      </w:r>
      <w:r w:rsidR="00167427">
        <w:rPr>
          <w:rFonts w:asciiTheme="majorHAnsi" w:eastAsiaTheme="majorEastAsia" w:hAnsiTheme="majorHAnsi" w:cstheme="majorBidi"/>
          <w:bCs/>
          <w:szCs w:val="32"/>
        </w:rPr>
        <w:t>Bypass-</w:t>
      </w:r>
      <w:r w:rsidR="002E09D9">
        <w:rPr>
          <w:rFonts w:asciiTheme="majorHAnsi" w:eastAsiaTheme="majorEastAsia" w:hAnsiTheme="majorHAnsi" w:cstheme="majorBidi"/>
          <w:bCs/>
          <w:szCs w:val="32"/>
        </w:rPr>
        <w:t>Konstruktion</w:t>
      </w:r>
      <w:r w:rsidR="006F70CC">
        <w:rPr>
          <w:rFonts w:asciiTheme="majorHAnsi" w:eastAsiaTheme="majorEastAsia" w:hAnsiTheme="majorHAnsi" w:cstheme="majorBidi"/>
          <w:bCs/>
          <w:szCs w:val="32"/>
        </w:rPr>
        <w:t xml:space="preserve"> </w:t>
      </w:r>
      <w:r w:rsidR="00B95EB7">
        <w:rPr>
          <w:rFonts w:asciiTheme="majorHAnsi" w:eastAsiaTheme="majorEastAsia" w:hAnsiTheme="majorHAnsi" w:cstheme="majorBidi"/>
          <w:bCs/>
          <w:szCs w:val="32"/>
        </w:rPr>
        <w:t>zum einen</w:t>
      </w:r>
      <w:r w:rsidR="006F70CC">
        <w:rPr>
          <w:rFonts w:asciiTheme="majorHAnsi" w:eastAsiaTheme="majorEastAsia" w:hAnsiTheme="majorHAnsi" w:cstheme="majorBidi"/>
          <w:bCs/>
          <w:szCs w:val="32"/>
        </w:rPr>
        <w:t xml:space="preserve"> </w:t>
      </w:r>
      <w:r w:rsidR="00167427" w:rsidRPr="00167427">
        <w:rPr>
          <w:rFonts w:asciiTheme="majorHAnsi" w:eastAsiaTheme="majorEastAsia" w:hAnsiTheme="majorHAnsi" w:cstheme="majorBidi"/>
          <w:bCs/>
          <w:szCs w:val="32"/>
        </w:rPr>
        <w:t>den Kontakt von feuchter Luft oder Fremdstoffen mit dem Sensor</w:t>
      </w:r>
      <w:r w:rsidR="006F70CC">
        <w:rPr>
          <w:rFonts w:asciiTheme="majorHAnsi" w:eastAsiaTheme="majorEastAsia" w:hAnsiTheme="majorHAnsi" w:cstheme="majorBidi"/>
          <w:bCs/>
          <w:szCs w:val="32"/>
        </w:rPr>
        <w:t xml:space="preserve"> und </w:t>
      </w:r>
      <w:r w:rsidR="00B95EB7">
        <w:rPr>
          <w:rFonts w:asciiTheme="majorHAnsi" w:eastAsiaTheme="majorEastAsia" w:hAnsiTheme="majorHAnsi" w:cstheme="majorBidi"/>
          <w:bCs/>
          <w:szCs w:val="32"/>
        </w:rPr>
        <w:t xml:space="preserve">verhindert </w:t>
      </w:r>
      <w:r w:rsidR="006F70CC">
        <w:rPr>
          <w:rFonts w:asciiTheme="majorHAnsi" w:eastAsiaTheme="majorEastAsia" w:hAnsiTheme="majorHAnsi" w:cstheme="majorBidi"/>
          <w:bCs/>
          <w:szCs w:val="32"/>
        </w:rPr>
        <w:t xml:space="preserve">dadurch </w:t>
      </w:r>
      <w:r w:rsidR="00167427" w:rsidRPr="00167427">
        <w:rPr>
          <w:rFonts w:asciiTheme="majorHAnsi" w:eastAsiaTheme="majorEastAsia" w:hAnsiTheme="majorHAnsi" w:cstheme="majorBidi"/>
          <w:bCs/>
          <w:szCs w:val="32"/>
        </w:rPr>
        <w:t>Ungenauigkeit und Besch</w:t>
      </w:r>
      <w:r w:rsidR="006F70CC">
        <w:rPr>
          <w:rFonts w:asciiTheme="majorHAnsi" w:eastAsiaTheme="majorEastAsia" w:hAnsiTheme="majorHAnsi" w:cstheme="majorBidi"/>
          <w:bCs/>
          <w:szCs w:val="32"/>
        </w:rPr>
        <w:t>ä</w:t>
      </w:r>
      <w:r w:rsidR="00167427" w:rsidRPr="00167427">
        <w:rPr>
          <w:rFonts w:asciiTheme="majorHAnsi" w:eastAsiaTheme="majorEastAsia" w:hAnsiTheme="majorHAnsi" w:cstheme="majorBidi"/>
          <w:bCs/>
          <w:szCs w:val="32"/>
        </w:rPr>
        <w:t>digungen</w:t>
      </w:r>
      <w:r w:rsidR="00B95EB7">
        <w:rPr>
          <w:rFonts w:asciiTheme="majorHAnsi" w:eastAsiaTheme="majorEastAsia" w:hAnsiTheme="majorHAnsi" w:cstheme="majorBidi"/>
          <w:bCs/>
          <w:szCs w:val="32"/>
        </w:rPr>
        <w:t xml:space="preserve">. Zum anderen reduziert sie </w:t>
      </w:r>
      <w:r w:rsidR="002E09D9">
        <w:rPr>
          <w:rFonts w:asciiTheme="majorHAnsi" w:eastAsiaTheme="majorEastAsia" w:hAnsiTheme="majorHAnsi" w:cstheme="majorBidi"/>
          <w:bCs/>
          <w:szCs w:val="32"/>
        </w:rPr>
        <w:t>den Druckverlust im Vergleich zur Serie PF2A7#H um bis zu 75 %</w:t>
      </w:r>
      <w:r w:rsidR="006F70CC">
        <w:rPr>
          <w:rFonts w:asciiTheme="majorHAnsi" w:eastAsiaTheme="majorEastAsia" w:hAnsiTheme="majorHAnsi" w:cstheme="majorBidi"/>
          <w:bCs/>
          <w:szCs w:val="32"/>
        </w:rPr>
        <w:t xml:space="preserve"> (von 20 kPa auf lediglich 5 kPa). E</w:t>
      </w:r>
      <w:r w:rsidR="002E09D9">
        <w:rPr>
          <w:rFonts w:asciiTheme="majorHAnsi" w:eastAsiaTheme="majorEastAsia" w:hAnsiTheme="majorHAnsi" w:cstheme="majorBidi"/>
          <w:bCs/>
          <w:szCs w:val="32"/>
        </w:rPr>
        <w:t>in Vorteil in Sachen Energieeffizienz</w:t>
      </w:r>
      <w:r w:rsidR="008B50FA">
        <w:rPr>
          <w:rFonts w:asciiTheme="majorHAnsi" w:eastAsiaTheme="majorEastAsia" w:hAnsiTheme="majorHAnsi" w:cstheme="majorBidi"/>
          <w:bCs/>
          <w:szCs w:val="32"/>
        </w:rPr>
        <w:t xml:space="preserve">, denn dies </w:t>
      </w:r>
      <w:r w:rsidR="006F70CC">
        <w:rPr>
          <w:rFonts w:asciiTheme="majorHAnsi" w:eastAsiaTheme="majorEastAsia" w:hAnsiTheme="majorHAnsi" w:cstheme="majorBidi"/>
          <w:bCs/>
          <w:szCs w:val="32"/>
        </w:rPr>
        <w:t>senkt</w:t>
      </w:r>
      <w:r w:rsidR="008B50FA">
        <w:rPr>
          <w:rFonts w:asciiTheme="majorHAnsi" w:eastAsiaTheme="majorEastAsia" w:hAnsiTheme="majorHAnsi" w:cstheme="majorBidi"/>
          <w:bCs/>
          <w:szCs w:val="32"/>
        </w:rPr>
        <w:t xml:space="preserve"> den benötigten Versorgungsdruck. </w:t>
      </w:r>
      <w:r w:rsidR="00056C94">
        <w:rPr>
          <w:rFonts w:asciiTheme="majorHAnsi" w:eastAsiaTheme="majorEastAsia" w:hAnsiTheme="majorHAnsi" w:cstheme="majorBidi"/>
          <w:bCs/>
          <w:szCs w:val="32"/>
        </w:rPr>
        <w:t>Die</w:t>
      </w:r>
      <w:r w:rsidR="008B50FA">
        <w:rPr>
          <w:rFonts w:asciiTheme="majorHAnsi" w:eastAsiaTheme="majorEastAsia" w:hAnsiTheme="majorHAnsi" w:cstheme="majorBidi"/>
          <w:bCs/>
          <w:szCs w:val="32"/>
        </w:rPr>
        <w:t xml:space="preserve"> </w:t>
      </w:r>
      <w:r w:rsidR="00056C94">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 xml:space="preserve">#H </w:t>
      </w:r>
      <w:r w:rsidR="00056C94">
        <w:rPr>
          <w:rFonts w:asciiTheme="majorHAnsi" w:eastAsiaTheme="majorEastAsia" w:hAnsiTheme="majorHAnsi" w:cstheme="majorBidi"/>
          <w:bCs/>
          <w:szCs w:val="32"/>
        </w:rPr>
        <w:t xml:space="preserve">verfügt </w:t>
      </w:r>
      <w:r w:rsidR="003814C5">
        <w:rPr>
          <w:rFonts w:asciiTheme="majorHAnsi" w:eastAsiaTheme="majorEastAsia" w:hAnsiTheme="majorHAnsi" w:cstheme="majorBidi"/>
          <w:bCs/>
          <w:szCs w:val="32"/>
        </w:rPr>
        <w:t xml:space="preserve">dabei </w:t>
      </w:r>
      <w:r w:rsidR="00056C94">
        <w:rPr>
          <w:rFonts w:asciiTheme="majorHAnsi" w:eastAsiaTheme="majorEastAsia" w:hAnsiTheme="majorHAnsi" w:cstheme="majorBidi"/>
          <w:bCs/>
          <w:szCs w:val="32"/>
        </w:rPr>
        <w:t xml:space="preserve">über ein </w:t>
      </w:r>
      <w:r w:rsidR="00966AC6">
        <w:rPr>
          <w:rFonts w:asciiTheme="majorHAnsi" w:eastAsiaTheme="majorEastAsia" w:hAnsiTheme="majorHAnsi" w:cstheme="majorBidi"/>
          <w:bCs/>
          <w:szCs w:val="32"/>
        </w:rPr>
        <w:t xml:space="preserve">hohes </w:t>
      </w:r>
      <w:r w:rsidR="00056C94">
        <w:rPr>
          <w:rFonts w:asciiTheme="majorHAnsi" w:eastAsiaTheme="majorEastAsia" w:hAnsiTheme="majorHAnsi" w:cstheme="majorBidi"/>
          <w:bCs/>
          <w:szCs w:val="32"/>
        </w:rPr>
        <w:t xml:space="preserve">Durchflussverhältnis von 100:1 mit einem Nenndurchfluss von 10 bis 1000 l/min bei Anschlussgrößen eines separat erhältlichen Rohrleitungsadapters von 1/4, 3/8, 1/2 bzw. 20 bis 2000 l/m bei Anschlussgrößen von 1/4, 3/8, 1/2 und 3/4. Das </w:t>
      </w:r>
      <w:r>
        <w:rPr>
          <w:rFonts w:asciiTheme="majorHAnsi" w:eastAsiaTheme="majorEastAsia" w:hAnsiTheme="majorHAnsi" w:cstheme="majorBidi"/>
          <w:bCs/>
          <w:szCs w:val="32"/>
        </w:rPr>
        <w:t>erlaubt</w:t>
      </w:r>
      <w:r w:rsidR="00056C94">
        <w:rPr>
          <w:rFonts w:asciiTheme="majorHAnsi" w:eastAsiaTheme="majorEastAsia" w:hAnsiTheme="majorHAnsi" w:cstheme="majorBidi"/>
          <w:bCs/>
          <w:szCs w:val="32"/>
        </w:rPr>
        <w:t xml:space="preserve"> neben</w:t>
      </w:r>
      <w:r w:rsidR="00966AC6">
        <w:rPr>
          <w:rFonts w:asciiTheme="majorHAnsi" w:eastAsiaTheme="majorEastAsia" w:hAnsiTheme="majorHAnsi" w:cstheme="majorBidi"/>
          <w:bCs/>
          <w:szCs w:val="32"/>
        </w:rPr>
        <w:t xml:space="preserve"> </w:t>
      </w:r>
      <w:r w:rsidR="00056C94">
        <w:rPr>
          <w:rFonts w:asciiTheme="majorHAnsi" w:eastAsiaTheme="majorEastAsia" w:hAnsiTheme="majorHAnsi" w:cstheme="majorBidi"/>
          <w:bCs/>
          <w:szCs w:val="32"/>
        </w:rPr>
        <w:t xml:space="preserve">genauen Durchflussmessungen im hohen Bereich das Erkennen von kleinen Leckagen von 1 % des Messbereichswertes, was </w:t>
      </w:r>
      <w:r w:rsidR="008B50FA">
        <w:rPr>
          <w:rFonts w:asciiTheme="majorHAnsi" w:eastAsiaTheme="majorEastAsia" w:hAnsiTheme="majorHAnsi" w:cstheme="majorBidi"/>
          <w:bCs/>
          <w:szCs w:val="32"/>
        </w:rPr>
        <w:t>weitere</w:t>
      </w:r>
      <w:r w:rsidR="00056C94">
        <w:rPr>
          <w:rFonts w:asciiTheme="majorHAnsi" w:eastAsiaTheme="majorEastAsia" w:hAnsiTheme="majorHAnsi" w:cstheme="majorBidi"/>
          <w:bCs/>
          <w:szCs w:val="32"/>
        </w:rPr>
        <w:t xml:space="preserve"> Energie und Kosten einspart. </w:t>
      </w:r>
    </w:p>
    <w:p w14:paraId="7EA305D0" w14:textId="5C4A6A09" w:rsidR="00616F53" w:rsidRDefault="005401AE" w:rsidP="00616F53">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rPr>
        <w:t>Modulare und vielseitige Komplettlösung</w:t>
      </w:r>
      <w:r w:rsidRPr="00CA1581">
        <w:rPr>
          <w:rFonts w:asciiTheme="majorHAnsi" w:eastAsiaTheme="majorEastAsia" w:hAnsiTheme="majorHAnsi" w:cstheme="majorBidi"/>
          <w:b/>
          <w:szCs w:val="32"/>
        </w:rPr>
        <w:br/>
      </w:r>
      <w:r w:rsidR="00966AC6">
        <w:rPr>
          <w:rFonts w:asciiTheme="majorHAnsi" w:eastAsiaTheme="majorEastAsia" w:hAnsiTheme="majorHAnsi" w:cstheme="majorBidi"/>
          <w:bCs/>
          <w:szCs w:val="32"/>
        </w:rPr>
        <w:t>Das optional beiliegende Kalibrierungszertifikat gibt darüber hinaus Auskunft über Abweichungen der Messwerte in Form einer Dokumentation, was die einfache und kostengünstige Einbindung in das Qualitätsmanagement erleichtert</w:t>
      </w:r>
      <w:r w:rsidR="00F16858">
        <w:rPr>
          <w:rFonts w:asciiTheme="majorHAnsi" w:eastAsiaTheme="majorEastAsia" w:hAnsiTheme="majorHAnsi" w:cstheme="majorBidi"/>
          <w:bCs/>
          <w:szCs w:val="32"/>
        </w:rPr>
        <w:t xml:space="preserve"> – was </w:t>
      </w:r>
      <w:r w:rsidR="006C68C8">
        <w:rPr>
          <w:rFonts w:asciiTheme="majorHAnsi" w:eastAsiaTheme="majorEastAsia" w:hAnsiTheme="majorHAnsi" w:cstheme="majorBidi"/>
          <w:bCs/>
          <w:szCs w:val="32"/>
        </w:rPr>
        <w:t xml:space="preserve">andernfalls </w:t>
      </w:r>
      <w:r w:rsidR="00F16858">
        <w:rPr>
          <w:rFonts w:asciiTheme="majorHAnsi" w:eastAsiaTheme="majorEastAsia" w:hAnsiTheme="majorHAnsi" w:cstheme="majorBidi"/>
          <w:bCs/>
          <w:szCs w:val="32"/>
        </w:rPr>
        <w:t>oft mit Zusatzkosten verbunden wäre</w:t>
      </w:r>
      <w:r w:rsidR="00966AC6">
        <w:rPr>
          <w:rFonts w:asciiTheme="majorHAnsi" w:eastAsiaTheme="majorEastAsia" w:hAnsiTheme="majorHAnsi" w:cstheme="majorBidi"/>
          <w:bCs/>
          <w:szCs w:val="32"/>
        </w:rPr>
        <w:t xml:space="preserve">. </w:t>
      </w:r>
      <w:r>
        <w:rPr>
          <w:rFonts w:asciiTheme="majorHAnsi" w:eastAsiaTheme="majorEastAsia" w:hAnsiTheme="majorHAnsi" w:cstheme="majorBidi"/>
          <w:bCs/>
          <w:szCs w:val="32"/>
        </w:rPr>
        <w:t>Dank</w:t>
      </w:r>
      <w:r w:rsidR="00616F53">
        <w:rPr>
          <w:rFonts w:asciiTheme="majorHAnsi" w:eastAsiaTheme="majorEastAsia" w:hAnsiTheme="majorHAnsi" w:cstheme="majorBidi"/>
          <w:bCs/>
          <w:szCs w:val="32"/>
        </w:rPr>
        <w:t xml:space="preserve"> modulare</w:t>
      </w:r>
      <w:r w:rsidR="00056C94">
        <w:rPr>
          <w:rFonts w:asciiTheme="majorHAnsi" w:eastAsiaTheme="majorEastAsia" w:hAnsiTheme="majorHAnsi" w:cstheme="majorBidi"/>
          <w:bCs/>
          <w:szCs w:val="32"/>
        </w:rPr>
        <w:t>r</w:t>
      </w:r>
      <w:r w:rsidR="00616F53">
        <w:rPr>
          <w:rFonts w:asciiTheme="majorHAnsi" w:eastAsiaTheme="majorEastAsia" w:hAnsiTheme="majorHAnsi" w:cstheme="majorBidi"/>
          <w:bCs/>
          <w:szCs w:val="32"/>
        </w:rPr>
        <w:t xml:space="preserve"> </w:t>
      </w:r>
      <w:r w:rsidR="002E09D9">
        <w:rPr>
          <w:rFonts w:asciiTheme="majorHAnsi" w:eastAsiaTheme="majorEastAsia" w:hAnsiTheme="majorHAnsi" w:cstheme="majorBidi"/>
          <w:bCs/>
          <w:szCs w:val="32"/>
        </w:rPr>
        <w:t>Bauweise</w:t>
      </w:r>
      <w:r w:rsidR="00616F53">
        <w:rPr>
          <w:rFonts w:asciiTheme="majorHAnsi" w:eastAsiaTheme="majorEastAsia" w:hAnsiTheme="majorHAnsi" w:cstheme="majorBidi"/>
          <w:bCs/>
          <w:szCs w:val="32"/>
        </w:rPr>
        <w:t xml:space="preserve"> ist </w:t>
      </w:r>
      <w:r w:rsidR="002E09D9">
        <w:rPr>
          <w:rFonts w:asciiTheme="majorHAnsi" w:eastAsiaTheme="majorEastAsia" w:hAnsiTheme="majorHAnsi" w:cstheme="majorBidi"/>
          <w:bCs/>
          <w:szCs w:val="32"/>
        </w:rPr>
        <w:t xml:space="preserve">die </w:t>
      </w:r>
      <w:r w:rsidR="00616F53">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 xml:space="preserve">#H </w:t>
      </w:r>
      <w:r w:rsidR="00F16858">
        <w:rPr>
          <w:rFonts w:asciiTheme="majorHAnsi" w:eastAsiaTheme="majorEastAsia" w:hAnsiTheme="majorHAnsi" w:cstheme="majorBidi"/>
          <w:bCs/>
          <w:szCs w:val="32"/>
        </w:rPr>
        <w:t xml:space="preserve">per Flanschanschluss schnell und einfach </w:t>
      </w:r>
      <w:r w:rsidR="00616F53">
        <w:rPr>
          <w:rFonts w:asciiTheme="majorHAnsi" w:eastAsiaTheme="majorEastAsia" w:hAnsiTheme="majorHAnsi" w:cstheme="majorBidi"/>
          <w:bCs/>
          <w:szCs w:val="32"/>
        </w:rPr>
        <w:t xml:space="preserve">an den kombinierten Wartungseinheiten </w:t>
      </w:r>
      <w:r w:rsidR="00CF636D">
        <w:rPr>
          <w:rFonts w:asciiTheme="majorHAnsi" w:eastAsiaTheme="majorEastAsia" w:hAnsiTheme="majorHAnsi" w:cstheme="majorBidi"/>
          <w:bCs/>
          <w:szCs w:val="32"/>
        </w:rPr>
        <w:t xml:space="preserve">(FRL) </w:t>
      </w:r>
      <w:r w:rsidR="00616F53">
        <w:rPr>
          <w:rFonts w:asciiTheme="majorHAnsi" w:eastAsiaTheme="majorEastAsia" w:hAnsiTheme="majorHAnsi" w:cstheme="majorBidi"/>
          <w:bCs/>
          <w:szCs w:val="32"/>
        </w:rPr>
        <w:t xml:space="preserve">der Serien AC30-D und AC40-D von SMC </w:t>
      </w:r>
      <w:r w:rsidR="00F16858">
        <w:rPr>
          <w:rFonts w:asciiTheme="majorHAnsi" w:eastAsiaTheme="majorEastAsia" w:hAnsiTheme="majorHAnsi" w:cstheme="majorBidi"/>
          <w:bCs/>
          <w:szCs w:val="32"/>
        </w:rPr>
        <w:t>anschließbar</w:t>
      </w:r>
      <w:r w:rsidR="00616F53" w:rsidRPr="00AB47C9">
        <w:rPr>
          <w:rFonts w:asciiTheme="majorHAnsi" w:eastAsiaTheme="majorEastAsia" w:hAnsiTheme="majorHAnsi" w:cstheme="majorBidi"/>
          <w:bCs/>
          <w:szCs w:val="32"/>
        </w:rPr>
        <w:t xml:space="preserve">. </w:t>
      </w:r>
      <w:r w:rsidR="00F16858">
        <w:rPr>
          <w:rFonts w:asciiTheme="majorHAnsi" w:eastAsiaTheme="majorEastAsia" w:hAnsiTheme="majorHAnsi" w:cstheme="majorBidi"/>
          <w:bCs/>
          <w:szCs w:val="32"/>
        </w:rPr>
        <w:t>Die</w:t>
      </w:r>
      <w:r w:rsidR="00616F53">
        <w:rPr>
          <w:rFonts w:asciiTheme="majorHAnsi" w:eastAsiaTheme="majorEastAsia" w:hAnsiTheme="majorHAnsi" w:cstheme="majorBidi"/>
          <w:bCs/>
          <w:szCs w:val="32"/>
        </w:rPr>
        <w:t xml:space="preserve"> Installation </w:t>
      </w:r>
      <w:r w:rsidR="00F16858">
        <w:rPr>
          <w:rFonts w:asciiTheme="majorHAnsi" w:eastAsiaTheme="majorEastAsia" w:hAnsiTheme="majorHAnsi" w:cstheme="majorBidi"/>
          <w:bCs/>
          <w:szCs w:val="32"/>
        </w:rPr>
        <w:t xml:space="preserve">gelingt </w:t>
      </w:r>
      <w:r w:rsidR="00616F53">
        <w:rPr>
          <w:rFonts w:asciiTheme="majorHAnsi" w:eastAsiaTheme="majorEastAsia" w:hAnsiTheme="majorHAnsi" w:cstheme="majorBidi"/>
          <w:bCs/>
          <w:szCs w:val="32"/>
        </w:rPr>
        <w:t>ohne Entfernen von Leitungen, was anschließend die Wartungszeit für Überprüfung, Reinigung und Austausch reduziert – und damit eine Komplettlösung für vielfältige Anwendungen schafft.</w:t>
      </w:r>
    </w:p>
    <w:p w14:paraId="60506F0B" w14:textId="64660F84" w:rsidR="00616F53" w:rsidRPr="00396630" w:rsidRDefault="005401AE" w:rsidP="00616F53">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
          <w:szCs w:val="32"/>
        </w:rPr>
        <w:t xml:space="preserve">IO-Link-kompatibel </w:t>
      </w:r>
      <w:r w:rsidR="00616F53" w:rsidRPr="00CA1581">
        <w:rPr>
          <w:rFonts w:asciiTheme="majorHAnsi" w:eastAsiaTheme="majorEastAsia" w:hAnsiTheme="majorHAnsi" w:cstheme="majorBidi"/>
          <w:b/>
          <w:szCs w:val="32"/>
        </w:rPr>
        <w:t xml:space="preserve">für die Industrie 4.0  </w:t>
      </w:r>
      <w:r w:rsidR="00616F53" w:rsidRPr="00CA1581">
        <w:rPr>
          <w:rFonts w:asciiTheme="majorHAnsi" w:eastAsiaTheme="majorEastAsia" w:hAnsiTheme="majorHAnsi" w:cstheme="majorBidi"/>
          <w:b/>
          <w:szCs w:val="32"/>
        </w:rPr>
        <w:br/>
      </w:r>
      <w:r w:rsidR="003D5117">
        <w:rPr>
          <w:rFonts w:asciiTheme="majorHAnsi" w:eastAsiaTheme="majorEastAsia" w:hAnsiTheme="majorHAnsi" w:cstheme="majorBidi"/>
          <w:bCs/>
          <w:szCs w:val="32"/>
        </w:rPr>
        <w:t xml:space="preserve">Anwender </w:t>
      </w:r>
      <w:r w:rsidR="00B74290">
        <w:rPr>
          <w:rFonts w:asciiTheme="majorHAnsi" w:eastAsiaTheme="majorEastAsia" w:hAnsiTheme="majorHAnsi" w:cstheme="majorBidi"/>
          <w:bCs/>
          <w:szCs w:val="32"/>
        </w:rPr>
        <w:t xml:space="preserve">können </w:t>
      </w:r>
      <w:r w:rsidR="003D5117">
        <w:rPr>
          <w:rFonts w:asciiTheme="majorHAnsi" w:eastAsiaTheme="majorEastAsia" w:hAnsiTheme="majorHAnsi" w:cstheme="majorBidi"/>
          <w:bCs/>
          <w:szCs w:val="32"/>
        </w:rPr>
        <w:t>über den externen Eingang den</w:t>
      </w:r>
      <w:r w:rsidR="00616F53">
        <w:rPr>
          <w:rFonts w:asciiTheme="majorHAnsi" w:eastAsiaTheme="majorEastAsia" w:hAnsiTheme="majorHAnsi" w:cstheme="majorBidi"/>
          <w:bCs/>
          <w:szCs w:val="32"/>
        </w:rPr>
        <w:t xml:space="preserve"> </w:t>
      </w:r>
      <w:r w:rsidR="003D5117">
        <w:rPr>
          <w:rFonts w:asciiTheme="majorHAnsi" w:eastAsiaTheme="majorEastAsia" w:hAnsiTheme="majorHAnsi" w:cstheme="majorBidi"/>
          <w:bCs/>
          <w:szCs w:val="32"/>
        </w:rPr>
        <w:t xml:space="preserve">Höchst-, Tiefst- und den kumulierten Wert ohne manuellen Eingriff </w:t>
      </w:r>
      <w:r w:rsidR="00616F53">
        <w:rPr>
          <w:rFonts w:asciiTheme="majorHAnsi" w:eastAsiaTheme="majorEastAsia" w:hAnsiTheme="majorHAnsi" w:cstheme="majorBidi"/>
          <w:bCs/>
          <w:szCs w:val="32"/>
        </w:rPr>
        <w:t xml:space="preserve">zurücksetzen. </w:t>
      </w:r>
      <w:r w:rsidR="003D5117">
        <w:rPr>
          <w:rFonts w:asciiTheme="majorHAnsi" w:eastAsiaTheme="majorEastAsia" w:hAnsiTheme="majorHAnsi" w:cstheme="majorBidi"/>
          <w:bCs/>
          <w:szCs w:val="32"/>
        </w:rPr>
        <w:t>Für einen besonders hohen Automatisierungsgrad sorgt die</w:t>
      </w:r>
      <w:r w:rsidR="00616F53">
        <w:rPr>
          <w:rFonts w:asciiTheme="majorHAnsi" w:eastAsiaTheme="majorEastAsia" w:hAnsiTheme="majorHAnsi" w:cstheme="majorBidi"/>
          <w:bCs/>
          <w:szCs w:val="32"/>
        </w:rPr>
        <w:t xml:space="preserve"> </w:t>
      </w:r>
      <w:r w:rsidR="003D5117">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 xml:space="preserve">#H </w:t>
      </w:r>
      <w:r w:rsidR="00167427">
        <w:rPr>
          <w:rFonts w:asciiTheme="majorHAnsi" w:eastAsiaTheme="majorEastAsia" w:hAnsiTheme="majorHAnsi" w:cstheme="majorBidi"/>
          <w:bCs/>
          <w:szCs w:val="32"/>
        </w:rPr>
        <w:t xml:space="preserve">daneben </w:t>
      </w:r>
      <w:r w:rsidR="003D5117">
        <w:rPr>
          <w:rFonts w:asciiTheme="majorHAnsi" w:eastAsiaTheme="majorEastAsia" w:hAnsiTheme="majorHAnsi" w:cstheme="majorBidi"/>
          <w:bCs/>
          <w:szCs w:val="32"/>
        </w:rPr>
        <w:t>dank ihrer Kompatibilität</w:t>
      </w:r>
      <w:r w:rsidR="00FB545B">
        <w:rPr>
          <w:rFonts w:asciiTheme="majorHAnsi" w:eastAsiaTheme="majorEastAsia" w:hAnsiTheme="majorHAnsi" w:cstheme="majorBidi"/>
          <w:bCs/>
          <w:szCs w:val="32"/>
        </w:rPr>
        <w:t xml:space="preserve"> zu IO-Link</w:t>
      </w:r>
      <w:r w:rsidR="00167427">
        <w:rPr>
          <w:rFonts w:asciiTheme="majorHAnsi" w:eastAsiaTheme="majorEastAsia" w:hAnsiTheme="majorHAnsi" w:cstheme="majorBidi"/>
          <w:bCs/>
          <w:szCs w:val="32"/>
        </w:rPr>
        <w:t>. Alle</w:t>
      </w:r>
      <w:r w:rsidR="00616F53">
        <w:rPr>
          <w:rFonts w:asciiTheme="majorHAnsi" w:eastAsiaTheme="majorEastAsia" w:hAnsiTheme="majorHAnsi" w:cstheme="majorBidi"/>
          <w:bCs/>
          <w:szCs w:val="32"/>
        </w:rPr>
        <w:t xml:space="preserve"> numerischen Sensorwerte </w:t>
      </w:r>
      <w:r w:rsidR="00167427">
        <w:rPr>
          <w:rFonts w:asciiTheme="majorHAnsi" w:eastAsiaTheme="majorEastAsia" w:hAnsiTheme="majorHAnsi" w:cstheme="majorBidi"/>
          <w:bCs/>
          <w:szCs w:val="32"/>
        </w:rPr>
        <w:t xml:space="preserve">lassen sich damit </w:t>
      </w:r>
      <w:r w:rsidR="00616F53">
        <w:rPr>
          <w:rFonts w:asciiTheme="majorHAnsi" w:eastAsiaTheme="majorEastAsia" w:hAnsiTheme="majorHAnsi" w:cstheme="majorBidi"/>
          <w:bCs/>
          <w:szCs w:val="32"/>
        </w:rPr>
        <w:t xml:space="preserve">in Echtzeit auslesen und </w:t>
      </w:r>
      <w:r w:rsidR="00167427">
        <w:rPr>
          <w:rFonts w:asciiTheme="majorHAnsi" w:eastAsiaTheme="majorEastAsia" w:hAnsiTheme="majorHAnsi" w:cstheme="majorBidi"/>
          <w:bCs/>
          <w:szCs w:val="32"/>
        </w:rPr>
        <w:t>Geräteeinstellungen auch bequem remote vornehmen (</w:t>
      </w:r>
      <w:r w:rsidR="00616F53">
        <w:rPr>
          <w:rFonts w:asciiTheme="majorHAnsi" w:eastAsiaTheme="majorEastAsia" w:hAnsiTheme="majorHAnsi" w:cstheme="majorBidi"/>
          <w:bCs/>
          <w:szCs w:val="32"/>
        </w:rPr>
        <w:t>via Feldbus und einem zwischengeschalteten IO-Link</w:t>
      </w:r>
      <w:r w:rsidR="00326082">
        <w:rPr>
          <w:rFonts w:asciiTheme="majorHAnsi" w:eastAsiaTheme="majorEastAsia" w:hAnsiTheme="majorHAnsi" w:cstheme="majorBidi"/>
          <w:bCs/>
          <w:szCs w:val="32"/>
        </w:rPr>
        <w:t xml:space="preserve"> </w:t>
      </w:r>
      <w:r w:rsidR="00616F53">
        <w:rPr>
          <w:rFonts w:asciiTheme="majorHAnsi" w:eastAsiaTheme="majorEastAsia" w:hAnsiTheme="majorHAnsi" w:cstheme="majorBidi"/>
          <w:bCs/>
          <w:szCs w:val="32"/>
        </w:rPr>
        <w:t>Master</w:t>
      </w:r>
      <w:r w:rsidR="00167427">
        <w:rPr>
          <w:rFonts w:asciiTheme="majorHAnsi" w:eastAsiaTheme="majorEastAsia" w:hAnsiTheme="majorHAnsi" w:cstheme="majorBidi"/>
          <w:bCs/>
          <w:szCs w:val="32"/>
        </w:rPr>
        <w:t>)</w:t>
      </w:r>
      <w:r w:rsidR="00616F53">
        <w:rPr>
          <w:rFonts w:asciiTheme="majorHAnsi" w:eastAsiaTheme="majorEastAsia" w:hAnsiTheme="majorHAnsi" w:cstheme="majorBidi"/>
          <w:bCs/>
          <w:szCs w:val="32"/>
        </w:rPr>
        <w:t xml:space="preserve">. </w:t>
      </w:r>
      <w:r w:rsidR="00167427">
        <w:rPr>
          <w:rFonts w:asciiTheme="majorHAnsi" w:eastAsiaTheme="majorEastAsia" w:hAnsiTheme="majorHAnsi" w:cstheme="majorBidi"/>
          <w:bCs/>
          <w:szCs w:val="32"/>
        </w:rPr>
        <w:t xml:space="preserve">Auch eine nochmals erhöhte Prozesssicherheit ist gewährleistet: </w:t>
      </w:r>
      <w:r w:rsidR="00167427">
        <w:rPr>
          <w:rFonts w:asciiTheme="majorHAnsi" w:eastAsiaTheme="majorEastAsia" w:hAnsiTheme="majorHAnsi" w:cstheme="majorBidi"/>
          <w:bCs/>
          <w:szCs w:val="32"/>
          <w:lang w:val="de"/>
        </w:rPr>
        <w:t>So erleichtert ein</w:t>
      </w:r>
      <w:r w:rsidR="00616F53">
        <w:rPr>
          <w:rFonts w:asciiTheme="majorHAnsi" w:eastAsiaTheme="majorEastAsia" w:hAnsiTheme="majorHAnsi" w:cstheme="majorBidi"/>
          <w:bCs/>
          <w:szCs w:val="32"/>
          <w:lang w:val="de"/>
        </w:rPr>
        <w:t xml:space="preserve"> in den zyklischen Prozessdaten eingeschleuster Diagnose-Bit die Erkennung von Geräteproblemen </w:t>
      </w:r>
      <w:r w:rsidR="00167427">
        <w:rPr>
          <w:rFonts w:asciiTheme="majorHAnsi" w:eastAsiaTheme="majorEastAsia" w:hAnsiTheme="majorHAnsi" w:cstheme="majorBidi"/>
          <w:bCs/>
          <w:szCs w:val="32"/>
          <w:lang w:val="de"/>
        </w:rPr>
        <w:t xml:space="preserve">sowie </w:t>
      </w:r>
      <w:r w:rsidR="00616F53">
        <w:rPr>
          <w:rFonts w:asciiTheme="majorHAnsi" w:eastAsiaTheme="majorEastAsia" w:hAnsiTheme="majorHAnsi" w:cstheme="majorBidi"/>
          <w:bCs/>
          <w:szCs w:val="32"/>
        </w:rPr>
        <w:t>Manipulationen der Sensorparameter, die dadurch auch gesperrt werden können</w:t>
      </w:r>
      <w:r w:rsidR="00616F53">
        <w:rPr>
          <w:rFonts w:asciiTheme="majorHAnsi" w:eastAsiaTheme="majorEastAsia" w:hAnsiTheme="majorHAnsi" w:cstheme="majorBidi"/>
          <w:bCs/>
          <w:szCs w:val="32"/>
          <w:lang w:val="de"/>
        </w:rPr>
        <w:t xml:space="preserve">. </w:t>
      </w:r>
      <w:r w:rsidR="00167427">
        <w:rPr>
          <w:rFonts w:asciiTheme="majorHAnsi" w:eastAsiaTheme="majorEastAsia" w:hAnsiTheme="majorHAnsi" w:cstheme="majorBidi"/>
          <w:bCs/>
          <w:szCs w:val="32"/>
          <w:lang w:val="de"/>
        </w:rPr>
        <w:t>In Summe</w:t>
      </w:r>
      <w:r w:rsidR="00616F53">
        <w:rPr>
          <w:rFonts w:asciiTheme="majorHAnsi" w:eastAsiaTheme="majorEastAsia" w:hAnsiTheme="majorHAnsi" w:cstheme="majorBidi"/>
          <w:bCs/>
          <w:szCs w:val="32"/>
          <w:lang w:val="de"/>
        </w:rPr>
        <w:t xml:space="preserve"> lässt sich </w:t>
      </w:r>
      <w:r w:rsidR="00167427">
        <w:rPr>
          <w:rFonts w:asciiTheme="majorHAnsi" w:eastAsiaTheme="majorEastAsia" w:hAnsiTheme="majorHAnsi" w:cstheme="majorBidi"/>
          <w:bCs/>
          <w:szCs w:val="32"/>
          <w:lang w:val="de"/>
        </w:rPr>
        <w:t xml:space="preserve">mit dem neu eingeführten </w:t>
      </w:r>
      <w:r w:rsidR="00167427">
        <w:rPr>
          <w:rFonts w:asciiTheme="majorHAnsi" w:eastAsiaTheme="majorEastAsia" w:hAnsiTheme="majorHAnsi" w:cstheme="majorBidi"/>
          <w:bCs/>
          <w:szCs w:val="32"/>
        </w:rPr>
        <w:t>digitalen Durchflussschalter</w:t>
      </w:r>
      <w:r w:rsidR="00616F53">
        <w:rPr>
          <w:rFonts w:asciiTheme="majorHAnsi" w:eastAsiaTheme="majorEastAsia" w:hAnsiTheme="majorHAnsi" w:cstheme="majorBidi"/>
          <w:bCs/>
          <w:szCs w:val="32"/>
          <w:lang w:val="de"/>
        </w:rPr>
        <w:t xml:space="preserve"> </w:t>
      </w:r>
      <w:r w:rsidR="00167427">
        <w:rPr>
          <w:rFonts w:asciiTheme="majorHAnsi" w:eastAsiaTheme="majorEastAsia" w:hAnsiTheme="majorHAnsi" w:cstheme="majorBidi"/>
          <w:bCs/>
          <w:szCs w:val="32"/>
          <w:lang w:val="de"/>
        </w:rPr>
        <w:t xml:space="preserve">der </w:t>
      </w:r>
      <w:r w:rsidR="00167427">
        <w:rPr>
          <w:rFonts w:asciiTheme="majorHAnsi" w:eastAsiaTheme="majorEastAsia" w:hAnsiTheme="majorHAnsi" w:cstheme="majorBidi"/>
          <w:bCs/>
          <w:szCs w:val="32"/>
        </w:rPr>
        <w:t xml:space="preserve">Serie </w:t>
      </w:r>
      <w:r w:rsidR="00B74290" w:rsidRPr="00B74290">
        <w:rPr>
          <w:rFonts w:asciiTheme="majorHAnsi" w:eastAsiaTheme="majorEastAsia" w:hAnsiTheme="majorHAnsi" w:cstheme="majorBidi"/>
          <w:bCs/>
          <w:szCs w:val="32"/>
        </w:rPr>
        <w:t>PF3A8</w:t>
      </w:r>
      <w:r w:rsidR="00B74290" w:rsidRPr="00B74290">
        <w:rPr>
          <w:rFonts w:asciiTheme="majorHAnsi" w:eastAsiaTheme="majorEastAsia" w:hAnsiTheme="majorHAnsi" w:cstheme="majorBidi"/>
          <w:szCs w:val="32"/>
        </w:rPr>
        <w:t xml:space="preserve">#H </w:t>
      </w:r>
      <w:r w:rsidR="00167427">
        <w:rPr>
          <w:rFonts w:asciiTheme="majorHAnsi" w:eastAsiaTheme="majorEastAsia" w:hAnsiTheme="majorHAnsi" w:cstheme="majorBidi"/>
          <w:bCs/>
          <w:szCs w:val="32"/>
        </w:rPr>
        <w:t xml:space="preserve">damit </w:t>
      </w:r>
      <w:r w:rsidR="00167427">
        <w:rPr>
          <w:rFonts w:asciiTheme="majorHAnsi" w:eastAsiaTheme="majorEastAsia" w:hAnsiTheme="majorHAnsi" w:cstheme="majorBidi"/>
          <w:bCs/>
          <w:szCs w:val="32"/>
          <w:lang w:val="de"/>
        </w:rPr>
        <w:t>gezielt eine</w:t>
      </w:r>
      <w:r w:rsidR="00616F53">
        <w:rPr>
          <w:rFonts w:asciiTheme="majorHAnsi" w:eastAsiaTheme="majorEastAsia" w:hAnsiTheme="majorHAnsi" w:cstheme="majorBidi"/>
          <w:bCs/>
          <w:szCs w:val="32"/>
          <w:lang w:val="de"/>
        </w:rPr>
        <w:t xml:space="preserve"> vorausschauende Wartung </w:t>
      </w:r>
      <w:r w:rsidR="00167427">
        <w:rPr>
          <w:rFonts w:asciiTheme="majorHAnsi" w:eastAsiaTheme="majorEastAsia" w:hAnsiTheme="majorHAnsi" w:cstheme="majorBidi"/>
          <w:bCs/>
          <w:szCs w:val="32"/>
          <w:lang w:val="de"/>
        </w:rPr>
        <w:t>sowie ein Einsatz für zahlreiche Branchenanwendungen im Bereich</w:t>
      </w:r>
      <w:r w:rsidR="006C68C8">
        <w:rPr>
          <w:rFonts w:asciiTheme="majorHAnsi" w:eastAsiaTheme="majorEastAsia" w:hAnsiTheme="majorHAnsi" w:cstheme="majorBidi"/>
          <w:bCs/>
          <w:szCs w:val="32"/>
          <w:lang w:val="de"/>
        </w:rPr>
        <w:t xml:space="preserve"> der</w:t>
      </w:r>
      <w:r w:rsidR="00616F53">
        <w:rPr>
          <w:rFonts w:asciiTheme="majorHAnsi" w:eastAsiaTheme="majorEastAsia" w:hAnsiTheme="majorHAnsi" w:cstheme="majorBidi"/>
          <w:bCs/>
          <w:szCs w:val="32"/>
          <w:lang w:val="de"/>
        </w:rPr>
        <w:t xml:space="preserve"> Industrie 4.0 realisieren.</w:t>
      </w:r>
    </w:p>
    <w:p w14:paraId="0B6A0286" w14:textId="136F6F2C" w:rsidR="003F3343" w:rsidRPr="008156ED" w:rsidRDefault="00361D2E" w:rsidP="00E12492">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 xml:space="preserve"> </w:t>
      </w:r>
    </w:p>
    <w:p w14:paraId="2C0319E7" w14:textId="77777777" w:rsidR="00E802DB" w:rsidRDefault="00E802DB" w:rsidP="00B74290">
      <w:pPr>
        <w:spacing w:line="360" w:lineRule="atLeast"/>
        <w:rPr>
          <w:rFonts w:asciiTheme="majorHAnsi" w:eastAsiaTheme="majorEastAsia" w:hAnsiTheme="majorHAnsi" w:cstheme="majorBidi"/>
          <w:bCs/>
          <w:szCs w:val="32"/>
        </w:rPr>
      </w:pPr>
    </w:p>
    <w:p w14:paraId="24FE939B" w14:textId="2D3A2DFD" w:rsidR="00B74290" w:rsidRPr="00E802DB" w:rsidRDefault="00B74290" w:rsidP="00B74290">
      <w:pPr>
        <w:spacing w:line="360" w:lineRule="atLeast"/>
        <w:rPr>
          <w:rFonts w:asciiTheme="majorHAnsi" w:eastAsiaTheme="majorEastAsia" w:hAnsiTheme="majorHAnsi" w:cstheme="majorBidi"/>
          <w:bCs/>
          <w:szCs w:val="32"/>
          <w:lang w:val="de"/>
        </w:rPr>
      </w:pPr>
      <w:r w:rsidRPr="00F25E47">
        <w:rPr>
          <w:rFonts w:asciiTheme="majorHAnsi" w:eastAsiaTheme="majorEastAsia" w:hAnsiTheme="majorHAnsi" w:cstheme="majorBidi"/>
          <w:b/>
          <w:bCs/>
          <w:szCs w:val="32"/>
          <w:lang w:val="de"/>
        </w:rPr>
        <w:t>Im</w:t>
      </w:r>
      <w:r w:rsidRPr="00F25E47">
        <w:rPr>
          <w:b/>
          <w:bCs/>
        </w:rPr>
        <w:t xml:space="preserve"> Detail –</w:t>
      </w:r>
      <w:r>
        <w:rPr>
          <w:b/>
          <w:bCs/>
        </w:rPr>
        <w:t xml:space="preserve"> Digitaler Durchflussschalter Serie PF3A8#H</w:t>
      </w:r>
    </w:p>
    <w:tbl>
      <w:tblPr>
        <w:tblStyle w:val="Tabellenraster"/>
        <w:tblW w:w="9067" w:type="dxa"/>
        <w:tblLayout w:type="fixed"/>
        <w:tblLook w:val="04A0" w:firstRow="1" w:lastRow="0" w:firstColumn="1" w:lastColumn="0" w:noHBand="0" w:noVBand="1"/>
      </w:tblPr>
      <w:tblGrid>
        <w:gridCol w:w="2263"/>
        <w:gridCol w:w="1985"/>
        <w:gridCol w:w="1843"/>
        <w:gridCol w:w="2976"/>
      </w:tblGrid>
      <w:tr w:rsidR="00344E8D" w:rsidRPr="006D6959" w14:paraId="5D791C3D" w14:textId="77777777" w:rsidTr="00563940">
        <w:trPr>
          <w:trHeight w:val="417"/>
        </w:trPr>
        <w:tc>
          <w:tcPr>
            <w:tcW w:w="2263" w:type="dxa"/>
            <w:shd w:val="clear" w:color="auto" w:fill="auto"/>
            <w:vAlign w:val="center"/>
          </w:tcPr>
          <w:p w14:paraId="55716258" w14:textId="02749582" w:rsidR="00344E8D" w:rsidRPr="006D6959" w:rsidRDefault="00344E8D" w:rsidP="00344E8D">
            <w:pPr>
              <w:pStyle w:val="Default"/>
              <w:rPr>
                <w:rFonts w:ascii="Arial" w:hAnsi="Arial" w:cs="Arial"/>
                <w:b/>
                <w:sz w:val="15"/>
                <w:szCs w:val="15"/>
              </w:rPr>
            </w:pPr>
            <w:r w:rsidRPr="006D6959">
              <w:rPr>
                <w:rFonts w:ascii="Arial" w:hAnsi="Arial" w:cs="Arial"/>
                <w:b/>
                <w:sz w:val="15"/>
                <w:szCs w:val="15"/>
              </w:rPr>
              <w:t>Modell</w:t>
            </w:r>
          </w:p>
        </w:tc>
        <w:tc>
          <w:tcPr>
            <w:tcW w:w="1985" w:type="dxa"/>
            <w:shd w:val="clear" w:color="auto" w:fill="auto"/>
            <w:vAlign w:val="center"/>
          </w:tcPr>
          <w:p w14:paraId="79D6BD48" w14:textId="4B8D2FEE" w:rsidR="00344E8D" w:rsidRPr="006D6959" w:rsidRDefault="00344E8D" w:rsidP="00344E8D">
            <w:pPr>
              <w:pStyle w:val="Default"/>
              <w:jc w:val="center"/>
              <w:rPr>
                <w:rFonts w:ascii="Arial" w:hAnsi="Arial" w:cs="Arial"/>
                <w:b/>
                <w:color w:val="auto"/>
                <w:sz w:val="15"/>
                <w:szCs w:val="15"/>
                <w:lang w:val="de-DE"/>
              </w:rPr>
            </w:pPr>
            <w:r w:rsidRPr="00D87686">
              <w:rPr>
                <w:rFonts w:ascii="Arial" w:hAnsi="Arial" w:cs="Arial"/>
                <w:b/>
                <w:bCs/>
                <w:color w:val="2A60AA"/>
                <w:sz w:val="15"/>
                <w:szCs w:val="15"/>
                <w:lang w:val="de-DE"/>
              </w:rPr>
              <w:t>NEU</w:t>
            </w:r>
            <w:r w:rsidRPr="006D6959">
              <w:rPr>
                <w:rFonts w:ascii="Arial" w:hAnsi="Arial" w:cs="Arial"/>
                <w:b/>
                <w:bCs/>
                <w:color w:val="FF0000"/>
                <w:sz w:val="15"/>
                <w:szCs w:val="15"/>
                <w:lang w:val="de-DE"/>
              </w:rPr>
              <w:t xml:space="preserve"> </w:t>
            </w:r>
            <w:r w:rsidRPr="006D6959">
              <w:rPr>
                <w:rFonts w:ascii="Arial" w:hAnsi="Arial" w:cs="Arial"/>
                <w:b/>
                <w:bCs/>
                <w:color w:val="auto"/>
                <w:sz w:val="15"/>
                <w:szCs w:val="15"/>
                <w:lang w:val="de-DE"/>
              </w:rPr>
              <w:t>PF3A801</w:t>
            </w:r>
            <w:r w:rsidRPr="006D6959">
              <w:rPr>
                <w:rFonts w:ascii="Arial" w:hAnsi="Arial" w:cs="Arial"/>
                <w:b/>
                <w:color w:val="auto"/>
                <w:sz w:val="15"/>
                <w:szCs w:val="15"/>
                <w:lang w:val="de-DE"/>
              </w:rPr>
              <w:t>/802H</w:t>
            </w:r>
            <w:r w:rsidR="006D6959" w:rsidRPr="006D6959">
              <w:rPr>
                <w:rFonts w:ascii="Arial" w:hAnsi="Arial" w:cs="Arial"/>
                <w:b/>
                <w:color w:val="auto"/>
                <w:sz w:val="15"/>
                <w:szCs w:val="15"/>
                <w:lang w:val="de-DE"/>
              </w:rPr>
              <w:t>-L</w:t>
            </w:r>
          </w:p>
        </w:tc>
        <w:tc>
          <w:tcPr>
            <w:tcW w:w="1843" w:type="dxa"/>
            <w:shd w:val="clear" w:color="auto" w:fill="auto"/>
            <w:vAlign w:val="center"/>
          </w:tcPr>
          <w:p w14:paraId="3E2861E7" w14:textId="7B4714CD" w:rsidR="00344E8D" w:rsidRPr="006D6959" w:rsidRDefault="00344E8D" w:rsidP="00344E8D">
            <w:pPr>
              <w:pStyle w:val="Default"/>
              <w:jc w:val="center"/>
              <w:rPr>
                <w:rFonts w:ascii="Arial" w:hAnsi="Arial" w:cs="Arial"/>
                <w:b/>
                <w:color w:val="auto"/>
                <w:sz w:val="15"/>
                <w:szCs w:val="15"/>
                <w:lang w:val="de-DE"/>
              </w:rPr>
            </w:pPr>
            <w:r w:rsidRPr="006D6959">
              <w:rPr>
                <w:rFonts w:ascii="Arial" w:hAnsi="Arial" w:cs="Arial"/>
                <w:b/>
                <w:color w:val="auto"/>
                <w:sz w:val="15"/>
                <w:szCs w:val="15"/>
                <w:lang w:val="de-DE"/>
              </w:rPr>
              <w:t>PF3A701/702H(-L)</w:t>
            </w:r>
          </w:p>
        </w:tc>
        <w:tc>
          <w:tcPr>
            <w:tcW w:w="2976" w:type="dxa"/>
            <w:shd w:val="clear" w:color="auto" w:fill="auto"/>
            <w:vAlign w:val="center"/>
          </w:tcPr>
          <w:p w14:paraId="2E40A061" w14:textId="494DFD1C" w:rsidR="00344E8D" w:rsidRPr="006D6959" w:rsidRDefault="00344E8D" w:rsidP="00344E8D">
            <w:pPr>
              <w:pStyle w:val="Default"/>
              <w:jc w:val="center"/>
              <w:rPr>
                <w:rFonts w:ascii="Arial" w:hAnsi="Arial" w:cs="Arial"/>
                <w:b/>
                <w:color w:val="auto"/>
                <w:sz w:val="15"/>
                <w:szCs w:val="15"/>
                <w:lang w:val="de-DE"/>
              </w:rPr>
            </w:pPr>
            <w:r w:rsidRPr="006D6959">
              <w:rPr>
                <w:rFonts w:ascii="Arial" w:hAnsi="Arial" w:cs="Arial"/>
                <w:b/>
                <w:bCs/>
                <w:color w:val="auto"/>
                <w:sz w:val="15"/>
                <w:szCs w:val="15"/>
                <w:lang w:val="de-DE"/>
              </w:rPr>
              <w:t>PF3A703/706/712H</w:t>
            </w:r>
            <w:r w:rsidR="006D6959" w:rsidRPr="006D6959">
              <w:rPr>
                <w:rFonts w:ascii="Arial" w:hAnsi="Arial" w:cs="Arial"/>
                <w:b/>
                <w:bCs/>
                <w:color w:val="auto"/>
                <w:sz w:val="15"/>
                <w:szCs w:val="15"/>
                <w:lang w:val="de-DE"/>
              </w:rPr>
              <w:t>(-L)</w:t>
            </w:r>
          </w:p>
        </w:tc>
      </w:tr>
      <w:tr w:rsidR="00E107FF" w:rsidRPr="006D6959" w14:paraId="7D763F37" w14:textId="77777777" w:rsidTr="00563940">
        <w:trPr>
          <w:trHeight w:val="498"/>
        </w:trPr>
        <w:tc>
          <w:tcPr>
            <w:tcW w:w="2263" w:type="dxa"/>
            <w:shd w:val="clear" w:color="auto" w:fill="auto"/>
            <w:vAlign w:val="center"/>
          </w:tcPr>
          <w:p w14:paraId="044D3C9A" w14:textId="628BD6E8" w:rsidR="00E107FF" w:rsidRPr="006D6959" w:rsidRDefault="00E107FF" w:rsidP="00E107FF">
            <w:pPr>
              <w:pStyle w:val="Default"/>
              <w:rPr>
                <w:rFonts w:ascii="Arial" w:hAnsi="Arial" w:cs="Arial"/>
                <w:bCs/>
                <w:sz w:val="15"/>
                <w:szCs w:val="15"/>
              </w:rPr>
            </w:pPr>
            <w:r w:rsidRPr="006D6959">
              <w:rPr>
                <w:rFonts w:ascii="Arial" w:hAnsi="Arial" w:cs="Arial"/>
                <w:bCs/>
                <w:color w:val="auto"/>
                <w:sz w:val="15"/>
                <w:szCs w:val="15"/>
                <w:lang w:val="de-DE"/>
              </w:rPr>
              <w:t>Gehäuse</w:t>
            </w:r>
          </w:p>
        </w:tc>
        <w:tc>
          <w:tcPr>
            <w:tcW w:w="1985" w:type="dxa"/>
            <w:shd w:val="clear" w:color="auto" w:fill="auto"/>
            <w:vAlign w:val="center"/>
          </w:tcPr>
          <w:p w14:paraId="221A9453"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Modulare Ausführung mit Druck-/Temperatursensor</w:t>
            </w:r>
          </w:p>
        </w:tc>
        <w:tc>
          <w:tcPr>
            <w:tcW w:w="1843" w:type="dxa"/>
            <w:shd w:val="clear" w:color="auto" w:fill="auto"/>
            <w:vAlign w:val="center"/>
          </w:tcPr>
          <w:p w14:paraId="70B8E65A"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Modulare Ausführung</w:t>
            </w:r>
          </w:p>
        </w:tc>
        <w:tc>
          <w:tcPr>
            <w:tcW w:w="2976" w:type="dxa"/>
            <w:shd w:val="clear" w:color="auto" w:fill="auto"/>
            <w:vAlign w:val="center"/>
          </w:tcPr>
          <w:p w14:paraId="0069FF5D"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Rohrversion</w:t>
            </w:r>
          </w:p>
        </w:tc>
      </w:tr>
      <w:tr w:rsidR="00E107FF" w:rsidRPr="006D6959" w14:paraId="32FB199C" w14:textId="77777777" w:rsidTr="00563940">
        <w:trPr>
          <w:trHeight w:val="562"/>
        </w:trPr>
        <w:tc>
          <w:tcPr>
            <w:tcW w:w="2263" w:type="dxa"/>
            <w:vAlign w:val="center"/>
          </w:tcPr>
          <w:p w14:paraId="72C5E101" w14:textId="77777777" w:rsidR="00E107FF" w:rsidRPr="00E107FF" w:rsidRDefault="00E107FF" w:rsidP="00E107FF">
            <w:pPr>
              <w:pStyle w:val="Default"/>
              <w:rPr>
                <w:rFonts w:ascii="Arial" w:hAnsi="Arial" w:cs="Arial"/>
                <w:bCs/>
                <w:color w:val="auto"/>
                <w:sz w:val="15"/>
                <w:szCs w:val="15"/>
                <w:lang w:val="de-DE"/>
              </w:rPr>
            </w:pPr>
            <w:r w:rsidRPr="006D6959">
              <w:rPr>
                <w:rFonts w:ascii="Arial" w:hAnsi="Arial" w:cs="Arial"/>
                <w:bCs/>
                <w:color w:val="auto"/>
                <w:sz w:val="15"/>
                <w:szCs w:val="15"/>
                <w:lang w:val="de-DE"/>
              </w:rPr>
              <w:t>Ausgangstyp</w:t>
            </w:r>
          </w:p>
        </w:tc>
        <w:tc>
          <w:tcPr>
            <w:tcW w:w="1985" w:type="dxa"/>
            <w:vAlign w:val="center"/>
          </w:tcPr>
          <w:p w14:paraId="2C55D5A1"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Schaltausgang, IO-Link</w:t>
            </w:r>
          </w:p>
        </w:tc>
        <w:tc>
          <w:tcPr>
            <w:tcW w:w="1843" w:type="dxa"/>
            <w:vAlign w:val="center"/>
          </w:tcPr>
          <w:p w14:paraId="73F15B79"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Schaltausgang, Analogausgang, IO-Link</w:t>
            </w:r>
          </w:p>
        </w:tc>
        <w:tc>
          <w:tcPr>
            <w:tcW w:w="2976" w:type="dxa"/>
            <w:vAlign w:val="center"/>
          </w:tcPr>
          <w:p w14:paraId="0D4F36EF" w14:textId="77777777" w:rsidR="00E107FF" w:rsidRPr="006D6959" w:rsidRDefault="00E107FF" w:rsidP="00E107FF">
            <w:pPr>
              <w:pStyle w:val="Default"/>
              <w:jc w:val="center"/>
              <w:rPr>
                <w:rFonts w:ascii="Arial" w:hAnsi="Arial" w:cs="Arial"/>
                <w:bCs/>
                <w:color w:val="auto"/>
                <w:sz w:val="15"/>
                <w:szCs w:val="15"/>
                <w:lang w:val="de-DE"/>
              </w:rPr>
            </w:pPr>
            <w:r w:rsidRPr="006D6959">
              <w:rPr>
                <w:rFonts w:ascii="Arial" w:hAnsi="Arial" w:cs="Arial"/>
                <w:bCs/>
                <w:color w:val="auto"/>
                <w:sz w:val="15"/>
                <w:szCs w:val="15"/>
                <w:lang w:val="de-DE"/>
              </w:rPr>
              <w:t>Schaltausgang, Analogausgang, IO-Link</w:t>
            </w:r>
          </w:p>
        </w:tc>
      </w:tr>
      <w:tr w:rsidR="00F73FD3" w:rsidRPr="006D6959" w14:paraId="7AD5616A" w14:textId="77777777" w:rsidTr="00563940">
        <w:trPr>
          <w:trHeight w:val="684"/>
        </w:trPr>
        <w:tc>
          <w:tcPr>
            <w:tcW w:w="2263" w:type="dxa"/>
            <w:vAlign w:val="center"/>
          </w:tcPr>
          <w:p w14:paraId="228068E6" w14:textId="077B7A72" w:rsidR="00F73FD3" w:rsidRPr="006D6959" w:rsidRDefault="00F73FD3" w:rsidP="00F73FD3">
            <w:pPr>
              <w:spacing w:after="0" w:line="240" w:lineRule="auto"/>
              <w:rPr>
                <w:rFonts w:cs="Arial"/>
                <w:sz w:val="15"/>
                <w:szCs w:val="15"/>
              </w:rPr>
            </w:pPr>
            <w:proofErr w:type="spellStart"/>
            <w:r w:rsidRPr="006D6959">
              <w:rPr>
                <w:rFonts w:cs="Arial"/>
                <w:sz w:val="15"/>
                <w:szCs w:val="15"/>
              </w:rPr>
              <w:t>Nenndurchflussbereich</w:t>
            </w:r>
            <w:proofErr w:type="spellEnd"/>
            <w:r w:rsidRPr="006D6959">
              <w:rPr>
                <w:rFonts w:cs="Arial"/>
                <w:sz w:val="15"/>
                <w:szCs w:val="15"/>
              </w:rPr>
              <w:t xml:space="preserve"> </w:t>
            </w:r>
            <w:r w:rsidRPr="006D6959">
              <w:rPr>
                <w:rFonts w:cs="Arial"/>
                <w:bCs/>
                <w:sz w:val="15"/>
                <w:szCs w:val="15"/>
              </w:rPr>
              <w:t>[l/min]</w:t>
            </w:r>
          </w:p>
        </w:tc>
        <w:tc>
          <w:tcPr>
            <w:tcW w:w="3828" w:type="dxa"/>
            <w:gridSpan w:val="2"/>
            <w:vAlign w:val="center"/>
          </w:tcPr>
          <w:p w14:paraId="271511E6" w14:textId="51B08E6A" w:rsidR="00F73FD3" w:rsidRPr="006D6959" w:rsidRDefault="00F73FD3" w:rsidP="00F73FD3">
            <w:pPr>
              <w:spacing w:after="0" w:line="240" w:lineRule="auto"/>
              <w:jc w:val="center"/>
              <w:rPr>
                <w:rFonts w:cs="Arial"/>
                <w:sz w:val="15"/>
                <w:szCs w:val="15"/>
              </w:rPr>
            </w:pPr>
            <w:r w:rsidRPr="006D6959">
              <w:rPr>
                <w:rFonts w:cs="Arial"/>
                <w:sz w:val="15"/>
                <w:szCs w:val="15"/>
              </w:rPr>
              <w:t>10 bis 1000</w:t>
            </w:r>
            <w:r>
              <w:rPr>
                <w:rFonts w:cs="Arial"/>
                <w:sz w:val="15"/>
                <w:szCs w:val="15"/>
              </w:rPr>
              <w:t xml:space="preserve"> </w:t>
            </w:r>
          </w:p>
          <w:p w14:paraId="082E2E0B" w14:textId="7D544DD9" w:rsidR="00F73FD3" w:rsidRPr="006D6959" w:rsidRDefault="00F73FD3" w:rsidP="00F73FD3">
            <w:pPr>
              <w:spacing w:after="0" w:line="240" w:lineRule="auto"/>
              <w:jc w:val="center"/>
              <w:rPr>
                <w:rFonts w:cs="Arial"/>
                <w:sz w:val="15"/>
                <w:szCs w:val="15"/>
              </w:rPr>
            </w:pPr>
            <w:r w:rsidRPr="006D6959">
              <w:rPr>
                <w:rFonts w:cs="Arial"/>
                <w:sz w:val="15"/>
                <w:szCs w:val="15"/>
              </w:rPr>
              <w:t>20 bis 2000</w:t>
            </w:r>
            <w:r>
              <w:rPr>
                <w:rFonts w:cs="Arial"/>
                <w:sz w:val="15"/>
                <w:szCs w:val="15"/>
              </w:rPr>
              <w:t xml:space="preserve"> </w:t>
            </w:r>
          </w:p>
        </w:tc>
        <w:tc>
          <w:tcPr>
            <w:tcW w:w="2976" w:type="dxa"/>
            <w:vAlign w:val="center"/>
          </w:tcPr>
          <w:p w14:paraId="6D5B5B02" w14:textId="7074F38E" w:rsidR="00F73FD3" w:rsidRPr="006D6959" w:rsidRDefault="00F73FD3" w:rsidP="00F73FD3">
            <w:pPr>
              <w:spacing w:after="0" w:line="240" w:lineRule="auto"/>
              <w:jc w:val="center"/>
              <w:rPr>
                <w:rFonts w:cs="Arial"/>
                <w:sz w:val="15"/>
                <w:szCs w:val="15"/>
              </w:rPr>
            </w:pPr>
            <w:r w:rsidRPr="006D6959">
              <w:rPr>
                <w:rFonts w:cs="Arial"/>
                <w:sz w:val="15"/>
                <w:szCs w:val="15"/>
              </w:rPr>
              <w:t>30 bis 3000</w:t>
            </w:r>
            <w:r w:rsidR="00563940">
              <w:rPr>
                <w:rFonts w:cs="Arial"/>
                <w:sz w:val="15"/>
                <w:szCs w:val="15"/>
              </w:rPr>
              <w:t xml:space="preserve"> </w:t>
            </w:r>
          </w:p>
          <w:p w14:paraId="64BF49CB" w14:textId="263B79C4" w:rsidR="00F73FD3" w:rsidRPr="006D6959" w:rsidRDefault="00F73FD3" w:rsidP="00F73FD3">
            <w:pPr>
              <w:spacing w:after="0" w:line="240" w:lineRule="auto"/>
              <w:jc w:val="center"/>
              <w:rPr>
                <w:rFonts w:cs="Arial"/>
                <w:sz w:val="15"/>
                <w:szCs w:val="15"/>
              </w:rPr>
            </w:pPr>
            <w:r w:rsidRPr="006D6959">
              <w:rPr>
                <w:rFonts w:cs="Arial"/>
                <w:sz w:val="15"/>
                <w:szCs w:val="15"/>
              </w:rPr>
              <w:t>60 bis 6000</w:t>
            </w:r>
          </w:p>
          <w:p w14:paraId="33450B75" w14:textId="52BB1876" w:rsidR="00F73FD3" w:rsidRPr="006D6959" w:rsidRDefault="00F73FD3" w:rsidP="00F73FD3">
            <w:pPr>
              <w:spacing w:after="0" w:line="240" w:lineRule="auto"/>
              <w:jc w:val="center"/>
              <w:rPr>
                <w:rFonts w:cs="Arial"/>
                <w:sz w:val="15"/>
                <w:szCs w:val="15"/>
              </w:rPr>
            </w:pPr>
            <w:r w:rsidRPr="006D6959">
              <w:rPr>
                <w:rFonts w:cs="Arial"/>
                <w:sz w:val="15"/>
                <w:szCs w:val="15"/>
              </w:rPr>
              <w:t>120 bis 12000</w:t>
            </w:r>
            <w:r w:rsidR="00563940">
              <w:rPr>
                <w:rFonts w:cs="Arial"/>
                <w:sz w:val="15"/>
                <w:szCs w:val="15"/>
              </w:rPr>
              <w:t xml:space="preserve"> </w:t>
            </w:r>
          </w:p>
        </w:tc>
      </w:tr>
      <w:tr w:rsidR="00F73FD3" w:rsidRPr="006D6959" w14:paraId="05DE7F19" w14:textId="77777777" w:rsidTr="00563940">
        <w:trPr>
          <w:trHeight w:val="356"/>
        </w:trPr>
        <w:tc>
          <w:tcPr>
            <w:tcW w:w="2263" w:type="dxa"/>
            <w:vAlign w:val="center"/>
          </w:tcPr>
          <w:p w14:paraId="08128E8F" w14:textId="77777777" w:rsidR="00F73FD3" w:rsidRPr="006D6959" w:rsidRDefault="00F73FD3" w:rsidP="00F73FD3">
            <w:pPr>
              <w:spacing w:after="0" w:line="240" w:lineRule="auto"/>
              <w:rPr>
                <w:rFonts w:cs="Arial"/>
                <w:sz w:val="15"/>
                <w:szCs w:val="15"/>
              </w:rPr>
            </w:pPr>
            <w:r w:rsidRPr="006D6959">
              <w:rPr>
                <w:rFonts w:cs="Arial"/>
                <w:sz w:val="15"/>
                <w:szCs w:val="15"/>
              </w:rPr>
              <w:t>Durchflussverhältnis</w:t>
            </w:r>
          </w:p>
        </w:tc>
        <w:tc>
          <w:tcPr>
            <w:tcW w:w="6804" w:type="dxa"/>
            <w:gridSpan w:val="3"/>
            <w:vAlign w:val="center"/>
          </w:tcPr>
          <w:p w14:paraId="4AF3CBCE" w14:textId="77777777" w:rsidR="00F73FD3" w:rsidRPr="006D6959" w:rsidRDefault="00F73FD3" w:rsidP="00F73FD3">
            <w:pPr>
              <w:spacing w:after="0" w:line="240" w:lineRule="auto"/>
              <w:jc w:val="center"/>
              <w:rPr>
                <w:rFonts w:cs="Arial"/>
                <w:sz w:val="15"/>
                <w:szCs w:val="15"/>
              </w:rPr>
            </w:pPr>
            <w:r w:rsidRPr="006D6959">
              <w:rPr>
                <w:rFonts w:cs="Arial"/>
                <w:sz w:val="15"/>
                <w:szCs w:val="15"/>
              </w:rPr>
              <w:t>100:1</w:t>
            </w:r>
          </w:p>
        </w:tc>
      </w:tr>
    </w:tbl>
    <w:p w14:paraId="2977310B" w14:textId="6EA652E9" w:rsidR="00B74290" w:rsidRDefault="00B74290" w:rsidP="00E12492">
      <w:pPr>
        <w:spacing w:line="360" w:lineRule="atLeast"/>
        <w:rPr>
          <w:rFonts w:asciiTheme="majorHAnsi" w:eastAsiaTheme="majorEastAsia" w:hAnsiTheme="majorHAnsi" w:cstheme="majorBidi"/>
          <w:bCs/>
          <w:szCs w:val="32"/>
          <w:lang w:val="de"/>
        </w:rPr>
      </w:pPr>
    </w:p>
    <w:p w14:paraId="7DC7B1FF" w14:textId="77777777" w:rsidR="00E802DB" w:rsidRPr="00C22135" w:rsidRDefault="00E802DB" w:rsidP="00E12492">
      <w:pPr>
        <w:spacing w:line="360" w:lineRule="atLeast"/>
        <w:rPr>
          <w:rFonts w:asciiTheme="majorHAnsi" w:eastAsiaTheme="majorEastAsia" w:hAnsiTheme="majorHAnsi" w:cstheme="majorBidi"/>
          <w:bCs/>
          <w:szCs w:val="32"/>
          <w:lang w:val="de"/>
        </w:rPr>
      </w:pPr>
    </w:p>
    <w:bookmarkEnd w:id="2"/>
    <w:p w14:paraId="76CAACDE" w14:textId="359AA11D" w:rsidR="00616F53" w:rsidRDefault="00616F53" w:rsidP="00616F53">
      <w:pPr>
        <w:spacing w:line="360" w:lineRule="atLeast"/>
        <w:rPr>
          <w:rFonts w:asciiTheme="majorHAnsi" w:eastAsiaTheme="majorEastAsia" w:hAnsiTheme="majorHAnsi" w:cstheme="majorBidi"/>
          <w:b/>
          <w:szCs w:val="32"/>
          <w:lang w:val="de"/>
        </w:rPr>
      </w:pPr>
      <w:r>
        <w:rPr>
          <w:rFonts w:asciiTheme="majorHAnsi" w:eastAsiaTheme="majorEastAsia" w:hAnsiTheme="majorHAnsi" w:cstheme="majorBidi"/>
          <w:b/>
          <w:noProof/>
          <w:szCs w:val="32"/>
          <w:lang w:val="de"/>
        </w:rPr>
        <w:drawing>
          <wp:inline distT="0" distB="0" distL="0" distR="0" wp14:anchorId="082393A8" wp14:editId="66370F30">
            <wp:extent cx="2278380" cy="259866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a:stretch>
                      <a:fillRect/>
                    </a:stretch>
                  </pic:blipFill>
                  <pic:spPr>
                    <a:xfrm>
                      <a:off x="0" y="0"/>
                      <a:ext cx="2278380" cy="2598660"/>
                    </a:xfrm>
                    <a:prstGeom prst="rect">
                      <a:avLst/>
                    </a:prstGeom>
                  </pic:spPr>
                </pic:pic>
              </a:graphicData>
            </a:graphic>
          </wp:inline>
        </w:drawing>
      </w:r>
    </w:p>
    <w:p w14:paraId="5856B383" w14:textId="50720316" w:rsidR="00616F53" w:rsidRPr="00D87686" w:rsidRDefault="00A003EB" w:rsidP="00616F53">
      <w:pPr>
        <w:spacing w:line="360" w:lineRule="atLeast"/>
        <w:rPr>
          <w:rFonts w:asciiTheme="majorHAnsi" w:eastAsiaTheme="majorEastAsia" w:hAnsiTheme="majorHAnsi" w:cstheme="majorBidi"/>
          <w:szCs w:val="32"/>
          <w:lang w:val="de"/>
        </w:rPr>
      </w:pPr>
      <w:r>
        <w:rPr>
          <w:b/>
        </w:rPr>
        <w:t>Abbildung</w:t>
      </w:r>
      <w:r w:rsidR="00616F53" w:rsidRPr="002B1728">
        <w:rPr>
          <w:b/>
        </w:rPr>
        <w:t>:</w:t>
      </w:r>
      <w:r w:rsidR="00616F53">
        <w:rPr>
          <w:b/>
        </w:rPr>
        <w:br/>
      </w:r>
      <w:r w:rsidR="00616F53" w:rsidRPr="00AB47C9">
        <w:rPr>
          <w:rFonts w:asciiTheme="minorHAnsi" w:hAnsiTheme="minorHAnsi" w:cstheme="minorHAnsi"/>
        </w:rPr>
        <w:t xml:space="preserve">Der </w:t>
      </w:r>
      <w:r w:rsidR="00CF636D">
        <w:rPr>
          <w:rFonts w:asciiTheme="minorHAnsi" w:hAnsiTheme="minorHAnsi" w:cstheme="minorHAnsi"/>
        </w:rPr>
        <w:t xml:space="preserve">neue </w:t>
      </w:r>
      <w:r w:rsidR="00616F53" w:rsidRPr="00AB47C9">
        <w:rPr>
          <w:rFonts w:asciiTheme="minorHAnsi" w:hAnsiTheme="minorHAnsi" w:cstheme="minorHAnsi"/>
        </w:rPr>
        <w:t>digitale Durchflussschalter der Serie PF3A</w:t>
      </w:r>
      <w:r w:rsidR="00616F53">
        <w:rPr>
          <w:rFonts w:asciiTheme="minorHAnsi" w:hAnsiTheme="minorHAnsi" w:cstheme="minorHAnsi"/>
        </w:rPr>
        <w:t>8</w:t>
      </w:r>
      <w:r w:rsidR="00CF636D">
        <w:rPr>
          <w:rFonts w:asciiTheme="minorHAnsi" w:hAnsiTheme="minorHAnsi" w:cstheme="minorHAnsi"/>
        </w:rPr>
        <w:t>#</w:t>
      </w:r>
      <w:r w:rsidR="00616F53">
        <w:rPr>
          <w:rFonts w:asciiTheme="minorHAnsi" w:hAnsiTheme="minorHAnsi" w:cstheme="minorHAnsi"/>
        </w:rPr>
        <w:t>H</w:t>
      </w:r>
      <w:r w:rsidR="00616F53" w:rsidRPr="00AB47C9">
        <w:rPr>
          <w:rFonts w:asciiTheme="minorHAnsi" w:hAnsiTheme="minorHAnsi" w:cstheme="minorHAnsi"/>
        </w:rPr>
        <w:t xml:space="preserve"> in modularer Ausführung </w:t>
      </w:r>
      <w:r w:rsidR="00D87686" w:rsidRPr="00D87686">
        <w:rPr>
          <w:rFonts w:asciiTheme="minorHAnsi" w:hAnsiTheme="minorHAnsi" w:cstheme="minorHAnsi"/>
        </w:rPr>
        <w:t xml:space="preserve">visualisiert auf dem 4-teiligen Display gleichzeitig </w:t>
      </w:r>
      <w:r w:rsidR="00D87686">
        <w:rPr>
          <w:rFonts w:asciiTheme="minorHAnsi" w:hAnsiTheme="minorHAnsi" w:cstheme="minorHAnsi"/>
        </w:rPr>
        <w:t xml:space="preserve">Durchfluss-, </w:t>
      </w:r>
      <w:r w:rsidR="00D87686" w:rsidRPr="00D87686">
        <w:rPr>
          <w:rFonts w:asciiTheme="minorHAnsi" w:hAnsiTheme="minorHAnsi" w:cstheme="minorHAnsi"/>
        </w:rPr>
        <w:t>Druck- und Temperaturwerte, ist mit IO-Link-Port gerüstet für die Industrie 4.0</w:t>
      </w:r>
      <w:r w:rsidR="00D87686">
        <w:rPr>
          <w:rFonts w:asciiTheme="minorHAnsi" w:hAnsiTheme="minorHAnsi" w:cstheme="minorHAnsi"/>
        </w:rPr>
        <w:t xml:space="preserve"> und </w:t>
      </w:r>
      <w:r w:rsidR="00D87686" w:rsidRPr="00AB47C9">
        <w:rPr>
          <w:rFonts w:asciiTheme="minorHAnsi" w:hAnsiTheme="minorHAnsi" w:cstheme="minorHAnsi"/>
        </w:rPr>
        <w:t xml:space="preserve">bietet </w:t>
      </w:r>
      <w:r w:rsidR="00D87686">
        <w:rPr>
          <w:rFonts w:asciiTheme="minorHAnsi" w:hAnsiTheme="minorHAnsi" w:cstheme="minorHAnsi"/>
        </w:rPr>
        <w:t xml:space="preserve">so </w:t>
      </w:r>
      <w:r w:rsidR="00D87686" w:rsidRPr="00AB47C9">
        <w:rPr>
          <w:rFonts w:asciiTheme="minorHAnsi" w:hAnsiTheme="minorHAnsi" w:cstheme="minorHAnsi"/>
        </w:rPr>
        <w:t xml:space="preserve">eine </w:t>
      </w:r>
      <w:r w:rsidR="00D87686">
        <w:rPr>
          <w:rFonts w:asciiTheme="minorHAnsi" w:hAnsiTheme="minorHAnsi" w:cstheme="minorHAnsi"/>
        </w:rPr>
        <w:t xml:space="preserve">äußerst </w:t>
      </w:r>
      <w:r w:rsidR="00D87686" w:rsidRPr="00AB47C9">
        <w:rPr>
          <w:rFonts w:asciiTheme="minorHAnsi" w:hAnsiTheme="minorHAnsi" w:cstheme="minorHAnsi"/>
        </w:rPr>
        <w:t>energieeffiziente Komplettlösung</w:t>
      </w:r>
      <w:r w:rsidR="00D87686">
        <w:rPr>
          <w:rFonts w:asciiTheme="minorHAnsi" w:hAnsiTheme="minorHAnsi" w:cstheme="minorHAnsi"/>
        </w:rPr>
        <w:t>.</w:t>
      </w:r>
    </w:p>
    <w:p w14:paraId="113193F7" w14:textId="77777777" w:rsidR="00616F53" w:rsidRPr="00473131" w:rsidRDefault="00616F53" w:rsidP="00616F53">
      <w:pPr>
        <w:spacing w:after="0" w:line="240" w:lineRule="auto"/>
        <w:rPr>
          <w:noProof/>
          <w:lang w:eastAsia="de-DE"/>
        </w:rPr>
      </w:pPr>
      <w:r>
        <w:t xml:space="preserve">  </w:t>
      </w:r>
    </w:p>
    <w:p w14:paraId="3606295F" w14:textId="77777777" w:rsidR="00616F53" w:rsidRDefault="00616F53" w:rsidP="00616F53">
      <w:pPr>
        <w:spacing w:after="120" w:line="360" w:lineRule="auto"/>
      </w:pPr>
      <w:r w:rsidRPr="002B1728">
        <w:t>Foto: SMC Deutschland GmbH</w:t>
      </w:r>
    </w:p>
    <w:p w14:paraId="256DF5A8" w14:textId="77777777" w:rsidR="00616F53" w:rsidRDefault="00616F53" w:rsidP="00616F53">
      <w:pPr>
        <w:spacing w:after="0" w:line="240" w:lineRule="auto"/>
      </w:pPr>
    </w:p>
    <w:p w14:paraId="06760733" w14:textId="77777777" w:rsidR="00616F53" w:rsidRDefault="00616F53" w:rsidP="00616F53">
      <w:pPr>
        <w:spacing w:after="0" w:line="240" w:lineRule="auto"/>
      </w:pPr>
      <w:r w:rsidRPr="00D26DA2">
        <w:t xml:space="preserve">Weitere Informationen finden Sie auf der SMC-Webseite unter </w:t>
      </w:r>
      <w:hyperlink r:id="rId9" w:history="1">
        <w:r>
          <w:rPr>
            <w:rStyle w:val="Hyperlink"/>
            <w:b/>
            <w:bCs/>
            <w:color w:val="3960A6"/>
          </w:rPr>
          <w:t>www.smc.de</w:t>
        </w:r>
      </w:hyperlink>
      <w:r>
        <w:t xml:space="preserve"> </w:t>
      </w:r>
    </w:p>
    <w:p w14:paraId="78B60216" w14:textId="797B0A9D" w:rsidR="00DA4B9A" w:rsidRDefault="00DA4B9A" w:rsidP="00446713">
      <w:pPr>
        <w:spacing w:after="0" w:line="240" w:lineRule="auto"/>
      </w:pPr>
    </w:p>
    <w:p w14:paraId="0053165C" w14:textId="77777777" w:rsidR="00DA4B9A" w:rsidRDefault="00DA4B9A" w:rsidP="00446713">
      <w:pPr>
        <w:spacing w:after="0" w:line="240" w:lineRule="auto"/>
      </w:pPr>
    </w:p>
    <w:p w14:paraId="6B05FACD" w14:textId="124E6E9B" w:rsidR="005052F6" w:rsidRPr="0062542D" w:rsidRDefault="005052F6" w:rsidP="005052F6">
      <w:pPr>
        <w:pStyle w:val="SMCUntertitel"/>
        <w:spacing w:after="120"/>
        <w:rPr>
          <w:b/>
        </w:rPr>
      </w:pPr>
      <w:r>
        <w:rPr>
          <w:b/>
        </w:rPr>
        <w:lastRenderedPageBreak/>
        <w:t>Über SMC Deutschland</w:t>
      </w:r>
    </w:p>
    <w:p w14:paraId="29B7E5ED" w14:textId="77777777" w:rsidR="008C2946" w:rsidRPr="00CE36E3" w:rsidRDefault="008C2946" w:rsidP="008C2946">
      <w:pPr>
        <w:pStyle w:val="SMCPressetext"/>
      </w:pPr>
      <w:r>
        <w:t xml:space="preserve">Führender Hersteller, Partner und Lösungsanbieter für </w:t>
      </w:r>
      <w:r w:rsidRPr="00CE36E3">
        <w:t>pneumatische und elektrische Automati</w:t>
      </w:r>
      <w:r w:rsidRPr="00CE36E3">
        <w:softHyphen/>
        <w:t>sierungstechnik – die SMC Deutschland GmbH bietet seit mehr als 40 Jahren ein umfassendes Produktspektrum vom Ventil bis zum Temperiergerät mit mittlerweile mehr als 12.000 Basismodellen und über 700.000 Varianten für unter</w:t>
      </w:r>
      <w:r w:rsidRPr="00CE36E3">
        <w:softHyphen/>
        <w:t>schiedlichste Industriebranchen. Die innovativen Automatisierungslösungen des Unternehmens mit Sitz in Egelsbach bei Frankfurt am Main finden sich unter anderem im Automobil- und Werkzeugmaschinenbau, in der Automationstechnik, der Elektronik und der Robotik sowie in</w:t>
      </w:r>
      <w:r>
        <w:t xml:space="preserve"> der</w:t>
      </w:r>
      <w:r w:rsidRPr="00CE36E3">
        <w:t xml:space="preserve"> Lebensmittel- und Verpackungs</w:t>
      </w:r>
      <w:r>
        <w:t>industrie wie auch in den</w:t>
      </w:r>
      <w:r w:rsidRPr="00CE36E3">
        <w:t xml:space="preserve"> </w:t>
      </w:r>
      <w:r>
        <w:t xml:space="preserve">Bereichen </w:t>
      </w:r>
      <w:r w:rsidRPr="00CE36E3">
        <w:t>Life</w:t>
      </w:r>
      <w:r>
        <w:t xml:space="preserve"> </w:t>
      </w:r>
      <w:r w:rsidRPr="00CE36E3">
        <w:t>Science</w:t>
      </w:r>
      <w:r>
        <w:t xml:space="preserve"> und Medizintechnik</w:t>
      </w:r>
      <w:r w:rsidRPr="00CE36E3">
        <w:t>. SMC erwirtschaftete im Geschäftsjahr 2021/22 einen Umsatz von 185 Millionen Euro und beschäftigt bundesweit 735 Mitarbeiterinnen und Mitarbeiter. Darüber hinaus steht allen Kunden ein flächendeckendes, kompetentes Service- und Vertriebsnetzwerk zur Seite. Zudem forciert SMC das Thema Nachhaltigkeit in einem breiten Kontext aus Umwelt- und Klimaschutz, Gesundheitsfürsorge und Mitarbeiterförderung sowie gesellschaftlichem Engagement: von Produkten und Services über innerbetriebliche Maßnahmen bis hin zu Projekten für die Gemeinde.</w:t>
      </w:r>
    </w:p>
    <w:p w14:paraId="0EFC8AAB" w14:textId="77777777" w:rsidR="008C2946" w:rsidRDefault="008C2946" w:rsidP="008C2946">
      <w:pPr>
        <w:pStyle w:val="SMCPressetext"/>
      </w:pPr>
      <w:r w:rsidRPr="00CE36E3">
        <w:t>Die SMC Deutschland GmbH gehört zur 1959 in Japan gegründeten SMC Corporation, die in 83 Ländern weltweit mit 31 Produktionsstätten vertreten ist. Der Weltmarktführer für pneumatische Automatisierungstechnik mit einem Marktanteil von 38 Prozent erzielte im Geschäftsjahr 2021/22 einen Umsatz von rund 5,6 Milliarden Euro und beschäftigt global 21.620 Mitarbeiterinnen und Mitarbeiter.</w:t>
      </w:r>
    </w:p>
    <w:p w14:paraId="06537568" w14:textId="77777777" w:rsidR="001C71AD" w:rsidRPr="00C866A8" w:rsidRDefault="001C71AD" w:rsidP="0082202A">
      <w:pPr>
        <w:pStyle w:val="SMCPressetext"/>
      </w:pPr>
    </w:p>
    <w:p w14:paraId="73D26F55" w14:textId="4FD1DAA2" w:rsidR="005052F6" w:rsidRDefault="005052F6" w:rsidP="0082202A">
      <w:pPr>
        <w:pStyle w:val="SMCPressetext"/>
      </w:pP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1E3" w14:textId="77777777" w:rsidR="0091146E" w:rsidRDefault="0091146E" w:rsidP="00890E0F">
      <w:pPr>
        <w:spacing w:after="0" w:line="240" w:lineRule="auto"/>
      </w:pPr>
      <w:r>
        <w:separator/>
      </w:r>
    </w:p>
  </w:endnote>
  <w:endnote w:type="continuationSeparator" w:id="0">
    <w:p w14:paraId="3A39C11A" w14:textId="77777777" w:rsidR="0091146E" w:rsidRDefault="0091146E"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kko Rounded Pro Medium">
    <w:altName w:val="Calibri"/>
    <w:panose1 w:val="020B0604020202020204"/>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kko Pro Medium">
    <w:altName w:val="Frutiger Next Pro Medium"/>
    <w:panose1 w:val="020B0604020202020204"/>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00000001" w:usb1="5000204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902BAC" w:rsidRPr="00CC2B85" w:rsidRDefault="00902BAC"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902BAC" w14:paraId="11E5634D" w14:textId="77777777" w:rsidTr="005C7C62">
      <w:tc>
        <w:tcPr>
          <w:tcW w:w="2268" w:type="dxa"/>
          <w:tcBorders>
            <w:top w:val="single" w:sz="4" w:space="0" w:color="2A60AA" w:themeColor="accent1"/>
          </w:tcBorders>
        </w:tcPr>
        <w:p w14:paraId="65C37488" w14:textId="77777777" w:rsidR="00902BAC" w:rsidRPr="00CB624B" w:rsidRDefault="00902BAC" w:rsidP="00CB624B">
          <w:pPr>
            <w:pStyle w:val="SMCBriefFenster"/>
            <w:rPr>
              <w:rStyle w:val="Fett"/>
            </w:rPr>
          </w:pPr>
        </w:p>
      </w:tc>
      <w:tc>
        <w:tcPr>
          <w:tcW w:w="2977" w:type="dxa"/>
          <w:tcBorders>
            <w:top w:val="single" w:sz="4" w:space="0" w:color="2A60AA" w:themeColor="accent1"/>
          </w:tcBorders>
        </w:tcPr>
        <w:p w14:paraId="165A6671" w14:textId="77777777" w:rsidR="00902BAC" w:rsidRDefault="00902BAC" w:rsidP="00CB624B">
          <w:pPr>
            <w:pStyle w:val="SMCBriefFenster"/>
          </w:pPr>
        </w:p>
      </w:tc>
      <w:tc>
        <w:tcPr>
          <w:tcW w:w="1843" w:type="dxa"/>
          <w:tcBorders>
            <w:top w:val="single" w:sz="4" w:space="0" w:color="2A60AA" w:themeColor="accent1"/>
          </w:tcBorders>
        </w:tcPr>
        <w:p w14:paraId="2518B925" w14:textId="77777777" w:rsidR="00902BAC" w:rsidRDefault="00902BAC" w:rsidP="00CB624B">
          <w:pPr>
            <w:pStyle w:val="SMCBriefFenster"/>
          </w:pPr>
        </w:p>
      </w:tc>
      <w:tc>
        <w:tcPr>
          <w:tcW w:w="2835" w:type="dxa"/>
          <w:tcBorders>
            <w:top w:val="single" w:sz="4" w:space="0" w:color="2A60AA" w:themeColor="accent1"/>
          </w:tcBorders>
        </w:tcPr>
        <w:p w14:paraId="40838DD8" w14:textId="77777777" w:rsidR="00902BAC" w:rsidRDefault="00902BAC" w:rsidP="00CB624B">
          <w:pPr>
            <w:pStyle w:val="SMCBriefFenster"/>
          </w:pPr>
        </w:p>
      </w:tc>
    </w:tr>
    <w:tr w:rsidR="00902BAC" w14:paraId="22539476" w14:textId="77777777" w:rsidTr="005C7C62">
      <w:tc>
        <w:tcPr>
          <w:tcW w:w="2268" w:type="dxa"/>
        </w:tcPr>
        <w:p w14:paraId="281F2D8F" w14:textId="77777777" w:rsidR="00902BAC" w:rsidRPr="00CB624B" w:rsidRDefault="00902BAC" w:rsidP="00CB624B">
          <w:pPr>
            <w:pStyle w:val="SMCBriefFenster"/>
            <w:rPr>
              <w:rStyle w:val="Fett"/>
            </w:rPr>
          </w:pPr>
          <w:r w:rsidRPr="00CB624B">
            <w:rPr>
              <w:rStyle w:val="Fett"/>
            </w:rPr>
            <w:t>SMC Deutschland GmbH</w:t>
          </w:r>
        </w:p>
        <w:p w14:paraId="4F237D59" w14:textId="77777777" w:rsidR="00902BAC" w:rsidRDefault="00902BAC" w:rsidP="00CB624B">
          <w:pPr>
            <w:pStyle w:val="SMCBriefFenster"/>
          </w:pPr>
          <w:r>
            <w:t>Boschring 13-15</w:t>
          </w:r>
        </w:p>
        <w:p w14:paraId="1F8C943A" w14:textId="77777777" w:rsidR="00902BAC" w:rsidRDefault="00902BAC" w:rsidP="00CB624B">
          <w:pPr>
            <w:pStyle w:val="SMCBriefFenster"/>
          </w:pPr>
          <w:r>
            <w:t>63329 Egelsbach</w:t>
          </w:r>
        </w:p>
      </w:tc>
      <w:tc>
        <w:tcPr>
          <w:tcW w:w="2977" w:type="dxa"/>
        </w:tcPr>
        <w:p w14:paraId="6F1F4730" w14:textId="77777777" w:rsidR="00902BAC" w:rsidRPr="00534D83" w:rsidRDefault="00902BAC" w:rsidP="009733EE">
          <w:pPr>
            <w:pStyle w:val="SMCBriefFenster"/>
            <w:rPr>
              <w:lang w:val="fr-CH"/>
            </w:rPr>
          </w:pPr>
          <w:r w:rsidRPr="00534D83">
            <w:rPr>
              <w:lang w:val="fr-CH"/>
            </w:rPr>
            <w:t>Brigitte Martinez Méndez</w:t>
          </w:r>
        </w:p>
        <w:p w14:paraId="1DFAFFA4" w14:textId="77777777" w:rsidR="00902BAC" w:rsidRPr="00534D83" w:rsidRDefault="00902BAC" w:rsidP="009733EE">
          <w:pPr>
            <w:pStyle w:val="SMCBriefFenster"/>
            <w:rPr>
              <w:lang w:val="fr-CH"/>
            </w:rPr>
          </w:pPr>
          <w:r w:rsidRPr="00534D83">
            <w:rPr>
              <w:lang w:val="fr-CH"/>
            </w:rPr>
            <w:t>Tel. +49 (0) 6103 402-278</w:t>
          </w:r>
        </w:p>
        <w:p w14:paraId="412DEC27" w14:textId="77777777" w:rsidR="00902BAC" w:rsidRPr="00534D83" w:rsidRDefault="00902BAC" w:rsidP="009733EE">
          <w:pPr>
            <w:pStyle w:val="SMCBriefFenster"/>
            <w:rPr>
              <w:lang w:val="fr-CH"/>
            </w:rPr>
          </w:pPr>
          <w:r w:rsidRPr="00534D83">
            <w:rPr>
              <w:lang w:val="fr-CH"/>
            </w:rPr>
            <w:t>martinez-mendez.brigitte@smc.de</w:t>
          </w:r>
        </w:p>
      </w:tc>
      <w:tc>
        <w:tcPr>
          <w:tcW w:w="1843" w:type="dxa"/>
        </w:tcPr>
        <w:p w14:paraId="19C96924" w14:textId="77777777" w:rsidR="00902BAC" w:rsidRDefault="00902BAC" w:rsidP="00A27E21">
          <w:pPr>
            <w:pStyle w:val="SMCBriefFenster"/>
          </w:pPr>
          <w:r>
            <w:t>www.smc.de</w:t>
          </w:r>
        </w:p>
      </w:tc>
      <w:tc>
        <w:tcPr>
          <w:tcW w:w="2835" w:type="dxa"/>
        </w:tcPr>
        <w:p w14:paraId="5ED33CCE" w14:textId="77777777" w:rsidR="00902BAC" w:rsidRPr="009C2840" w:rsidRDefault="00902BAC"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902BAC" w:rsidRDefault="00902BAC" w:rsidP="00CB624B">
          <w:pPr>
            <w:pStyle w:val="SMCBriefFenster"/>
          </w:pPr>
        </w:p>
      </w:tc>
    </w:tr>
  </w:tbl>
  <w:p w14:paraId="7B733D58" w14:textId="77777777" w:rsidR="00902BAC" w:rsidRDefault="00902BAC" w:rsidP="00D73044">
    <w:pPr>
      <w:pStyle w:val="SMCUnsichtbar"/>
    </w:pPr>
  </w:p>
  <w:p w14:paraId="0F0547F1" w14:textId="77777777" w:rsidR="00902BAC" w:rsidRDefault="00902BAC" w:rsidP="00D73044">
    <w:pPr>
      <w:pStyle w:val="SMCUnsichtbar"/>
    </w:pPr>
  </w:p>
  <w:p w14:paraId="58A59C7A" w14:textId="77777777" w:rsidR="00902BAC" w:rsidRDefault="00902BAC" w:rsidP="00D73044">
    <w:pPr>
      <w:pStyle w:val="SMCUnsichtbar"/>
    </w:pPr>
  </w:p>
  <w:p w14:paraId="6470C970" w14:textId="77777777" w:rsidR="00902BAC" w:rsidRDefault="00902BAC" w:rsidP="00D73044">
    <w:pPr>
      <w:pStyle w:val="SMCUnsichtbar"/>
    </w:pPr>
  </w:p>
  <w:p w14:paraId="55ECB4B6" w14:textId="77777777" w:rsidR="00902BAC" w:rsidRDefault="00902BAC" w:rsidP="00D73044">
    <w:pPr>
      <w:pStyle w:val="SMCUnsichtbar"/>
    </w:pPr>
  </w:p>
  <w:p w14:paraId="74DDA0F3" w14:textId="77777777" w:rsidR="00902BAC" w:rsidRDefault="00902BAC" w:rsidP="00D73044">
    <w:pPr>
      <w:pStyle w:val="SMCUnsichtbar"/>
    </w:pPr>
  </w:p>
  <w:p w14:paraId="75748DA0" w14:textId="77777777" w:rsidR="00902BAC" w:rsidRDefault="00902BAC" w:rsidP="00D73044">
    <w:pPr>
      <w:pStyle w:val="SMCUnsichtbar"/>
    </w:pPr>
  </w:p>
  <w:p w14:paraId="136A1D00" w14:textId="77777777" w:rsidR="00902BAC" w:rsidRDefault="00902BAC" w:rsidP="00D73044">
    <w:pPr>
      <w:pStyle w:val="SMCUnsichtbar"/>
    </w:pPr>
  </w:p>
  <w:p w14:paraId="68E755CD" w14:textId="77777777" w:rsidR="00902BAC" w:rsidRDefault="00902BAC" w:rsidP="00D73044">
    <w:pPr>
      <w:pStyle w:val="SMCUnsichtbar"/>
    </w:pPr>
  </w:p>
  <w:p w14:paraId="0DD37A49" w14:textId="77777777" w:rsidR="00902BAC" w:rsidRDefault="00902BAC" w:rsidP="00D73044">
    <w:pPr>
      <w:pStyle w:val="SMCUnsichtbar"/>
    </w:pPr>
  </w:p>
  <w:p w14:paraId="0506E9B6" w14:textId="77777777" w:rsidR="00902BAC" w:rsidRDefault="00902BAC" w:rsidP="00D73044">
    <w:pPr>
      <w:pStyle w:val="SMCUnsichtbar"/>
    </w:pPr>
  </w:p>
  <w:p w14:paraId="75409E84" w14:textId="77777777" w:rsidR="00902BAC" w:rsidRDefault="00902BAC" w:rsidP="00D73044">
    <w:pPr>
      <w:pStyle w:val="SMCUnsichtbar"/>
    </w:pPr>
  </w:p>
  <w:p w14:paraId="4B0E1F05" w14:textId="77777777" w:rsidR="00902BAC" w:rsidRDefault="00902BAC" w:rsidP="00D73044">
    <w:pPr>
      <w:pStyle w:val="SMCUnsichtbar"/>
    </w:pPr>
  </w:p>
  <w:p w14:paraId="77C8E066" w14:textId="77777777" w:rsidR="00902BAC" w:rsidRDefault="00902BAC" w:rsidP="00D73044">
    <w:pPr>
      <w:pStyle w:val="SMCUnsichtbar"/>
    </w:pPr>
  </w:p>
  <w:p w14:paraId="7055A43C" w14:textId="77777777" w:rsidR="00902BAC" w:rsidRDefault="00902BAC"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EEB3" w14:textId="77777777" w:rsidR="0091146E" w:rsidRDefault="0091146E" w:rsidP="00890E0F">
      <w:pPr>
        <w:spacing w:after="0" w:line="240" w:lineRule="auto"/>
      </w:pPr>
      <w:r>
        <w:separator/>
      </w:r>
    </w:p>
  </w:footnote>
  <w:footnote w:type="continuationSeparator" w:id="0">
    <w:p w14:paraId="6579B6D7" w14:textId="77777777" w:rsidR="0091146E" w:rsidRDefault="0091146E"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902BAC" w:rsidRDefault="00902BAC"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902BAC" w14:paraId="2F7C49C0" w14:textId="77777777" w:rsidTr="00163A92">
      <w:trPr>
        <w:trHeight w:hRule="exact" w:val="2336"/>
      </w:trPr>
      <w:tc>
        <w:tcPr>
          <w:tcW w:w="6804" w:type="dxa"/>
        </w:tcPr>
        <w:p w14:paraId="765277D4" w14:textId="77777777" w:rsidR="00902BAC" w:rsidRDefault="00902BAC"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902BAC" w:rsidRDefault="00902BAC" w:rsidP="003D0B72"/>
      </w:tc>
    </w:tr>
  </w:tbl>
  <w:p w14:paraId="4E261155" w14:textId="77777777" w:rsidR="00902BAC" w:rsidRDefault="00902BAC"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16cid:durableId="451286746">
    <w:abstractNumId w:val="13"/>
  </w:num>
  <w:num w:numId="2" w16cid:durableId="266618793">
    <w:abstractNumId w:val="10"/>
  </w:num>
  <w:num w:numId="3" w16cid:durableId="405802544">
    <w:abstractNumId w:val="6"/>
  </w:num>
  <w:num w:numId="4" w16cid:durableId="1414090385">
    <w:abstractNumId w:val="5"/>
  </w:num>
  <w:num w:numId="5" w16cid:durableId="2122721638">
    <w:abstractNumId w:val="17"/>
  </w:num>
  <w:num w:numId="6" w16cid:durableId="1971864296">
    <w:abstractNumId w:val="4"/>
  </w:num>
  <w:num w:numId="7" w16cid:durableId="316612870">
    <w:abstractNumId w:val="9"/>
  </w:num>
  <w:num w:numId="8" w16cid:durableId="1970477289">
    <w:abstractNumId w:val="0"/>
  </w:num>
  <w:num w:numId="9" w16cid:durableId="556816482">
    <w:abstractNumId w:val="7"/>
  </w:num>
  <w:num w:numId="10" w16cid:durableId="962611899">
    <w:abstractNumId w:val="8"/>
  </w:num>
  <w:num w:numId="11" w16cid:durableId="1468472732">
    <w:abstractNumId w:val="2"/>
  </w:num>
  <w:num w:numId="12" w16cid:durableId="585722982">
    <w:abstractNumId w:val="1"/>
  </w:num>
  <w:num w:numId="13" w16cid:durableId="350035754">
    <w:abstractNumId w:val="14"/>
  </w:num>
  <w:num w:numId="14" w16cid:durableId="1055785374">
    <w:abstractNumId w:val="11"/>
  </w:num>
  <w:num w:numId="15" w16cid:durableId="761990125">
    <w:abstractNumId w:val="3"/>
  </w:num>
  <w:num w:numId="16" w16cid:durableId="734088122">
    <w:abstractNumId w:val="12"/>
  </w:num>
  <w:num w:numId="17" w16cid:durableId="1716198310">
    <w:abstractNumId w:val="16"/>
  </w:num>
  <w:num w:numId="18" w16cid:durableId="49356550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941"/>
    <w:rsid w:val="00005FDC"/>
    <w:rsid w:val="00006ED0"/>
    <w:rsid w:val="00007955"/>
    <w:rsid w:val="00011BBC"/>
    <w:rsid w:val="00012906"/>
    <w:rsid w:val="0001389C"/>
    <w:rsid w:val="00016D5E"/>
    <w:rsid w:val="00017CC0"/>
    <w:rsid w:val="00021733"/>
    <w:rsid w:val="00022553"/>
    <w:rsid w:val="00023DC1"/>
    <w:rsid w:val="000240C5"/>
    <w:rsid w:val="00024A0D"/>
    <w:rsid w:val="00024D4D"/>
    <w:rsid w:val="00025879"/>
    <w:rsid w:val="00025CDC"/>
    <w:rsid w:val="000270CB"/>
    <w:rsid w:val="0002739F"/>
    <w:rsid w:val="00027F0D"/>
    <w:rsid w:val="000305DD"/>
    <w:rsid w:val="000306CB"/>
    <w:rsid w:val="0003208A"/>
    <w:rsid w:val="000347EA"/>
    <w:rsid w:val="00035B75"/>
    <w:rsid w:val="000364C1"/>
    <w:rsid w:val="00036D79"/>
    <w:rsid w:val="0004033A"/>
    <w:rsid w:val="00041893"/>
    <w:rsid w:val="00042F59"/>
    <w:rsid w:val="00044A57"/>
    <w:rsid w:val="00046544"/>
    <w:rsid w:val="0004681A"/>
    <w:rsid w:val="00051BA6"/>
    <w:rsid w:val="00054711"/>
    <w:rsid w:val="00054DE9"/>
    <w:rsid w:val="00056C94"/>
    <w:rsid w:val="0006108C"/>
    <w:rsid w:val="000618A6"/>
    <w:rsid w:val="0006313C"/>
    <w:rsid w:val="00064E55"/>
    <w:rsid w:val="00065BA6"/>
    <w:rsid w:val="00071471"/>
    <w:rsid w:val="00072F2B"/>
    <w:rsid w:val="00074742"/>
    <w:rsid w:val="00075402"/>
    <w:rsid w:val="0007796E"/>
    <w:rsid w:val="000807D3"/>
    <w:rsid w:val="0008171E"/>
    <w:rsid w:val="00083B23"/>
    <w:rsid w:val="00085F91"/>
    <w:rsid w:val="00087400"/>
    <w:rsid w:val="000874C4"/>
    <w:rsid w:val="00087D09"/>
    <w:rsid w:val="000928F9"/>
    <w:rsid w:val="0009431C"/>
    <w:rsid w:val="00096B61"/>
    <w:rsid w:val="000A0D64"/>
    <w:rsid w:val="000A0E0A"/>
    <w:rsid w:val="000A104A"/>
    <w:rsid w:val="000A13E2"/>
    <w:rsid w:val="000A755C"/>
    <w:rsid w:val="000B0E1B"/>
    <w:rsid w:val="000B1B9E"/>
    <w:rsid w:val="000B1C2D"/>
    <w:rsid w:val="000B2AE8"/>
    <w:rsid w:val="000B2D5E"/>
    <w:rsid w:val="000B3AA0"/>
    <w:rsid w:val="000B49BD"/>
    <w:rsid w:val="000B72BC"/>
    <w:rsid w:val="000C0999"/>
    <w:rsid w:val="000D111A"/>
    <w:rsid w:val="000D3D0A"/>
    <w:rsid w:val="000D450B"/>
    <w:rsid w:val="000D468A"/>
    <w:rsid w:val="000E15FE"/>
    <w:rsid w:val="000E575B"/>
    <w:rsid w:val="000E5ED7"/>
    <w:rsid w:val="000F103D"/>
    <w:rsid w:val="000F548E"/>
    <w:rsid w:val="000F7303"/>
    <w:rsid w:val="000F7B51"/>
    <w:rsid w:val="00100D16"/>
    <w:rsid w:val="00100E88"/>
    <w:rsid w:val="00101A72"/>
    <w:rsid w:val="00103CFD"/>
    <w:rsid w:val="001040B0"/>
    <w:rsid w:val="00110E99"/>
    <w:rsid w:val="00111B51"/>
    <w:rsid w:val="00112CA7"/>
    <w:rsid w:val="0011395B"/>
    <w:rsid w:val="00114085"/>
    <w:rsid w:val="0012471D"/>
    <w:rsid w:val="00124BE3"/>
    <w:rsid w:val="00125683"/>
    <w:rsid w:val="001306CD"/>
    <w:rsid w:val="001314AC"/>
    <w:rsid w:val="0013399F"/>
    <w:rsid w:val="00133B19"/>
    <w:rsid w:val="00134B13"/>
    <w:rsid w:val="00134BE0"/>
    <w:rsid w:val="00135D96"/>
    <w:rsid w:val="0013660F"/>
    <w:rsid w:val="00136976"/>
    <w:rsid w:val="00141322"/>
    <w:rsid w:val="001420F7"/>
    <w:rsid w:val="001458CF"/>
    <w:rsid w:val="0014596C"/>
    <w:rsid w:val="00147A17"/>
    <w:rsid w:val="001520F5"/>
    <w:rsid w:val="00155A40"/>
    <w:rsid w:val="00157875"/>
    <w:rsid w:val="00160EF3"/>
    <w:rsid w:val="00163A92"/>
    <w:rsid w:val="00165BCF"/>
    <w:rsid w:val="00165F0B"/>
    <w:rsid w:val="0016665C"/>
    <w:rsid w:val="00167427"/>
    <w:rsid w:val="0017267C"/>
    <w:rsid w:val="001736B7"/>
    <w:rsid w:val="00175078"/>
    <w:rsid w:val="00176426"/>
    <w:rsid w:val="00177D4C"/>
    <w:rsid w:val="0018038F"/>
    <w:rsid w:val="00185B1E"/>
    <w:rsid w:val="00187316"/>
    <w:rsid w:val="001879AB"/>
    <w:rsid w:val="00193D8F"/>
    <w:rsid w:val="00194CA9"/>
    <w:rsid w:val="00196AF8"/>
    <w:rsid w:val="00196C03"/>
    <w:rsid w:val="001A00FB"/>
    <w:rsid w:val="001A03FC"/>
    <w:rsid w:val="001A2082"/>
    <w:rsid w:val="001A33D0"/>
    <w:rsid w:val="001A3421"/>
    <w:rsid w:val="001A43DA"/>
    <w:rsid w:val="001B1BCC"/>
    <w:rsid w:val="001B29DD"/>
    <w:rsid w:val="001B2F11"/>
    <w:rsid w:val="001C2F6B"/>
    <w:rsid w:val="001C4692"/>
    <w:rsid w:val="001C4FCE"/>
    <w:rsid w:val="001C6667"/>
    <w:rsid w:val="001C718E"/>
    <w:rsid w:val="001C71A6"/>
    <w:rsid w:val="001C71AD"/>
    <w:rsid w:val="001D5319"/>
    <w:rsid w:val="001D5B66"/>
    <w:rsid w:val="001E03AA"/>
    <w:rsid w:val="001E0601"/>
    <w:rsid w:val="001E07AE"/>
    <w:rsid w:val="001E0B84"/>
    <w:rsid w:val="001E18EC"/>
    <w:rsid w:val="001E1D3A"/>
    <w:rsid w:val="001E267C"/>
    <w:rsid w:val="001E7242"/>
    <w:rsid w:val="001E74AF"/>
    <w:rsid w:val="001F4306"/>
    <w:rsid w:val="001F508A"/>
    <w:rsid w:val="001F5863"/>
    <w:rsid w:val="0020195C"/>
    <w:rsid w:val="00203BDA"/>
    <w:rsid w:val="00203BF0"/>
    <w:rsid w:val="00205983"/>
    <w:rsid w:val="002065F8"/>
    <w:rsid w:val="00207DF5"/>
    <w:rsid w:val="00207E87"/>
    <w:rsid w:val="00210940"/>
    <w:rsid w:val="00214AC0"/>
    <w:rsid w:val="002153A9"/>
    <w:rsid w:val="0021584A"/>
    <w:rsid w:val="0021790D"/>
    <w:rsid w:val="00217F1B"/>
    <w:rsid w:val="00217F9E"/>
    <w:rsid w:val="0022045F"/>
    <w:rsid w:val="002207C2"/>
    <w:rsid w:val="00220F9B"/>
    <w:rsid w:val="00224B03"/>
    <w:rsid w:val="00224D45"/>
    <w:rsid w:val="0022656C"/>
    <w:rsid w:val="002267B5"/>
    <w:rsid w:val="00230682"/>
    <w:rsid w:val="00230FA1"/>
    <w:rsid w:val="002344C0"/>
    <w:rsid w:val="00237B72"/>
    <w:rsid w:val="0024104B"/>
    <w:rsid w:val="00242DE1"/>
    <w:rsid w:val="002467E4"/>
    <w:rsid w:val="00247964"/>
    <w:rsid w:val="00247F04"/>
    <w:rsid w:val="002537F4"/>
    <w:rsid w:val="00254B07"/>
    <w:rsid w:val="0025507A"/>
    <w:rsid w:val="00260026"/>
    <w:rsid w:val="002636C8"/>
    <w:rsid w:val="002641FF"/>
    <w:rsid w:val="002736A2"/>
    <w:rsid w:val="00275346"/>
    <w:rsid w:val="002828C6"/>
    <w:rsid w:val="00282D8F"/>
    <w:rsid w:val="00283151"/>
    <w:rsid w:val="00283D3D"/>
    <w:rsid w:val="00286FEE"/>
    <w:rsid w:val="00287053"/>
    <w:rsid w:val="00291E4F"/>
    <w:rsid w:val="00292C2F"/>
    <w:rsid w:val="00292DFA"/>
    <w:rsid w:val="00294C5F"/>
    <w:rsid w:val="0029507D"/>
    <w:rsid w:val="00295B76"/>
    <w:rsid w:val="00295E9E"/>
    <w:rsid w:val="002A0B33"/>
    <w:rsid w:val="002A51C4"/>
    <w:rsid w:val="002A55B5"/>
    <w:rsid w:val="002A6F21"/>
    <w:rsid w:val="002B7593"/>
    <w:rsid w:val="002C2B99"/>
    <w:rsid w:val="002C438F"/>
    <w:rsid w:val="002C4DBD"/>
    <w:rsid w:val="002D0360"/>
    <w:rsid w:val="002D1BC0"/>
    <w:rsid w:val="002D3AF4"/>
    <w:rsid w:val="002D446F"/>
    <w:rsid w:val="002D44AF"/>
    <w:rsid w:val="002D697E"/>
    <w:rsid w:val="002E09D9"/>
    <w:rsid w:val="002E2DF2"/>
    <w:rsid w:val="002E3AFC"/>
    <w:rsid w:val="002E53CB"/>
    <w:rsid w:val="002E6502"/>
    <w:rsid w:val="002E7814"/>
    <w:rsid w:val="002E7D8C"/>
    <w:rsid w:val="002F0231"/>
    <w:rsid w:val="002F139B"/>
    <w:rsid w:val="002F1722"/>
    <w:rsid w:val="002F1907"/>
    <w:rsid w:val="002F1A9A"/>
    <w:rsid w:val="002F37AA"/>
    <w:rsid w:val="002F49E1"/>
    <w:rsid w:val="002F5986"/>
    <w:rsid w:val="002F630A"/>
    <w:rsid w:val="002F6C77"/>
    <w:rsid w:val="003017F3"/>
    <w:rsid w:val="003037E0"/>
    <w:rsid w:val="0030513D"/>
    <w:rsid w:val="00306967"/>
    <w:rsid w:val="00307E13"/>
    <w:rsid w:val="003103F4"/>
    <w:rsid w:val="00311A56"/>
    <w:rsid w:val="00312C29"/>
    <w:rsid w:val="00312F59"/>
    <w:rsid w:val="00314951"/>
    <w:rsid w:val="003149A6"/>
    <w:rsid w:val="00315323"/>
    <w:rsid w:val="00315DFB"/>
    <w:rsid w:val="0031630C"/>
    <w:rsid w:val="003169B2"/>
    <w:rsid w:val="00316DF8"/>
    <w:rsid w:val="00322BE0"/>
    <w:rsid w:val="00324D23"/>
    <w:rsid w:val="00324F49"/>
    <w:rsid w:val="00326082"/>
    <w:rsid w:val="003272B9"/>
    <w:rsid w:val="003316FC"/>
    <w:rsid w:val="00332947"/>
    <w:rsid w:val="00332BCE"/>
    <w:rsid w:val="00335283"/>
    <w:rsid w:val="0033550C"/>
    <w:rsid w:val="003357C4"/>
    <w:rsid w:val="0033582D"/>
    <w:rsid w:val="0033697E"/>
    <w:rsid w:val="00337ADD"/>
    <w:rsid w:val="0034187C"/>
    <w:rsid w:val="003423D9"/>
    <w:rsid w:val="00344E8D"/>
    <w:rsid w:val="003454C4"/>
    <w:rsid w:val="0034693B"/>
    <w:rsid w:val="00346B0A"/>
    <w:rsid w:val="00347AE9"/>
    <w:rsid w:val="003507F9"/>
    <w:rsid w:val="0035108E"/>
    <w:rsid w:val="003513BB"/>
    <w:rsid w:val="00352083"/>
    <w:rsid w:val="00352631"/>
    <w:rsid w:val="0035275B"/>
    <w:rsid w:val="00355571"/>
    <w:rsid w:val="0035649E"/>
    <w:rsid w:val="00360568"/>
    <w:rsid w:val="00361D2E"/>
    <w:rsid w:val="00363818"/>
    <w:rsid w:val="00364247"/>
    <w:rsid w:val="00365569"/>
    <w:rsid w:val="003664B8"/>
    <w:rsid w:val="003746A3"/>
    <w:rsid w:val="00375F39"/>
    <w:rsid w:val="00377574"/>
    <w:rsid w:val="003800FA"/>
    <w:rsid w:val="003814C5"/>
    <w:rsid w:val="00381C63"/>
    <w:rsid w:val="003840DC"/>
    <w:rsid w:val="00384583"/>
    <w:rsid w:val="0038726D"/>
    <w:rsid w:val="003905B7"/>
    <w:rsid w:val="00391B9D"/>
    <w:rsid w:val="0039421C"/>
    <w:rsid w:val="003947EB"/>
    <w:rsid w:val="00395956"/>
    <w:rsid w:val="003A2267"/>
    <w:rsid w:val="003A2387"/>
    <w:rsid w:val="003A2A6B"/>
    <w:rsid w:val="003A479C"/>
    <w:rsid w:val="003A51F0"/>
    <w:rsid w:val="003A53D7"/>
    <w:rsid w:val="003A6965"/>
    <w:rsid w:val="003A71B0"/>
    <w:rsid w:val="003A7462"/>
    <w:rsid w:val="003B0A61"/>
    <w:rsid w:val="003B12FC"/>
    <w:rsid w:val="003B1F86"/>
    <w:rsid w:val="003B2CE9"/>
    <w:rsid w:val="003B31C9"/>
    <w:rsid w:val="003B3D37"/>
    <w:rsid w:val="003B44E7"/>
    <w:rsid w:val="003C21ED"/>
    <w:rsid w:val="003C344E"/>
    <w:rsid w:val="003C4F95"/>
    <w:rsid w:val="003C532D"/>
    <w:rsid w:val="003C5791"/>
    <w:rsid w:val="003C6F84"/>
    <w:rsid w:val="003C764E"/>
    <w:rsid w:val="003D0986"/>
    <w:rsid w:val="003D0B72"/>
    <w:rsid w:val="003D17BF"/>
    <w:rsid w:val="003D5117"/>
    <w:rsid w:val="003D5B54"/>
    <w:rsid w:val="003D5EA0"/>
    <w:rsid w:val="003D692C"/>
    <w:rsid w:val="003E18FE"/>
    <w:rsid w:val="003E573F"/>
    <w:rsid w:val="003E71A6"/>
    <w:rsid w:val="003F11A7"/>
    <w:rsid w:val="003F1826"/>
    <w:rsid w:val="003F1CA4"/>
    <w:rsid w:val="003F3343"/>
    <w:rsid w:val="003F36FD"/>
    <w:rsid w:val="003F6658"/>
    <w:rsid w:val="00401976"/>
    <w:rsid w:val="00407865"/>
    <w:rsid w:val="004213BA"/>
    <w:rsid w:val="004215D5"/>
    <w:rsid w:val="00421E3E"/>
    <w:rsid w:val="00425076"/>
    <w:rsid w:val="004256A1"/>
    <w:rsid w:val="004260F2"/>
    <w:rsid w:val="004276E0"/>
    <w:rsid w:val="00427A2B"/>
    <w:rsid w:val="00430A13"/>
    <w:rsid w:val="00431465"/>
    <w:rsid w:val="00436AA5"/>
    <w:rsid w:val="0043728E"/>
    <w:rsid w:val="004417E0"/>
    <w:rsid w:val="00442880"/>
    <w:rsid w:val="00443A44"/>
    <w:rsid w:val="00443DC2"/>
    <w:rsid w:val="004444CF"/>
    <w:rsid w:val="00445603"/>
    <w:rsid w:val="00445B65"/>
    <w:rsid w:val="004460E0"/>
    <w:rsid w:val="00446713"/>
    <w:rsid w:val="0044679F"/>
    <w:rsid w:val="00446D41"/>
    <w:rsid w:val="00452C85"/>
    <w:rsid w:val="004533F1"/>
    <w:rsid w:val="00454B3E"/>
    <w:rsid w:val="00454FC3"/>
    <w:rsid w:val="00455576"/>
    <w:rsid w:val="0046577F"/>
    <w:rsid w:val="00471949"/>
    <w:rsid w:val="00473131"/>
    <w:rsid w:val="00480679"/>
    <w:rsid w:val="00480739"/>
    <w:rsid w:val="00480981"/>
    <w:rsid w:val="00480D54"/>
    <w:rsid w:val="00480D8D"/>
    <w:rsid w:val="004816A4"/>
    <w:rsid w:val="00482D98"/>
    <w:rsid w:val="00484FB5"/>
    <w:rsid w:val="004874CB"/>
    <w:rsid w:val="004909AF"/>
    <w:rsid w:val="004919E9"/>
    <w:rsid w:val="00491BBB"/>
    <w:rsid w:val="00491F4D"/>
    <w:rsid w:val="004920D5"/>
    <w:rsid w:val="0049707C"/>
    <w:rsid w:val="004A3595"/>
    <w:rsid w:val="004A366D"/>
    <w:rsid w:val="004A3FA5"/>
    <w:rsid w:val="004A4F56"/>
    <w:rsid w:val="004A53C3"/>
    <w:rsid w:val="004A617F"/>
    <w:rsid w:val="004B2BAA"/>
    <w:rsid w:val="004B2D90"/>
    <w:rsid w:val="004B69B2"/>
    <w:rsid w:val="004B7BD7"/>
    <w:rsid w:val="004C081E"/>
    <w:rsid w:val="004C5492"/>
    <w:rsid w:val="004C702A"/>
    <w:rsid w:val="004C72AC"/>
    <w:rsid w:val="004D0367"/>
    <w:rsid w:val="004D25B1"/>
    <w:rsid w:val="004D2DCF"/>
    <w:rsid w:val="004D35BF"/>
    <w:rsid w:val="004D4684"/>
    <w:rsid w:val="004D4D2C"/>
    <w:rsid w:val="004D6258"/>
    <w:rsid w:val="004D657E"/>
    <w:rsid w:val="004E0FED"/>
    <w:rsid w:val="004E1A0A"/>
    <w:rsid w:val="004E4A39"/>
    <w:rsid w:val="004E4D53"/>
    <w:rsid w:val="004E6A77"/>
    <w:rsid w:val="004F02F6"/>
    <w:rsid w:val="004F3AA4"/>
    <w:rsid w:val="00500896"/>
    <w:rsid w:val="005022A3"/>
    <w:rsid w:val="005052F6"/>
    <w:rsid w:val="005058DD"/>
    <w:rsid w:val="005060AE"/>
    <w:rsid w:val="00512EED"/>
    <w:rsid w:val="00513C2F"/>
    <w:rsid w:val="005145A4"/>
    <w:rsid w:val="00514A1B"/>
    <w:rsid w:val="00514E42"/>
    <w:rsid w:val="0051500A"/>
    <w:rsid w:val="0051644C"/>
    <w:rsid w:val="005164B5"/>
    <w:rsid w:val="0051711E"/>
    <w:rsid w:val="00521F23"/>
    <w:rsid w:val="00523569"/>
    <w:rsid w:val="00523D7C"/>
    <w:rsid w:val="00525B3F"/>
    <w:rsid w:val="00525FD7"/>
    <w:rsid w:val="00531AB9"/>
    <w:rsid w:val="00534D83"/>
    <w:rsid w:val="005353F0"/>
    <w:rsid w:val="00535FD5"/>
    <w:rsid w:val="005372E9"/>
    <w:rsid w:val="005374ED"/>
    <w:rsid w:val="005401AE"/>
    <w:rsid w:val="00540C1D"/>
    <w:rsid w:val="00545087"/>
    <w:rsid w:val="00545342"/>
    <w:rsid w:val="00545DD0"/>
    <w:rsid w:val="005473F8"/>
    <w:rsid w:val="00547561"/>
    <w:rsid w:val="00554103"/>
    <w:rsid w:val="005549D1"/>
    <w:rsid w:val="00554C1C"/>
    <w:rsid w:val="00556CC2"/>
    <w:rsid w:val="00557113"/>
    <w:rsid w:val="005609B9"/>
    <w:rsid w:val="00562273"/>
    <w:rsid w:val="00562799"/>
    <w:rsid w:val="0056287B"/>
    <w:rsid w:val="00563940"/>
    <w:rsid w:val="00564C99"/>
    <w:rsid w:val="00565FE4"/>
    <w:rsid w:val="005665E5"/>
    <w:rsid w:val="00566FF9"/>
    <w:rsid w:val="00577E41"/>
    <w:rsid w:val="00580302"/>
    <w:rsid w:val="0058084B"/>
    <w:rsid w:val="00581A94"/>
    <w:rsid w:val="00583A83"/>
    <w:rsid w:val="00583C7F"/>
    <w:rsid w:val="005904CD"/>
    <w:rsid w:val="005909D5"/>
    <w:rsid w:val="00591693"/>
    <w:rsid w:val="00591CCC"/>
    <w:rsid w:val="00594004"/>
    <w:rsid w:val="00594360"/>
    <w:rsid w:val="00597CD4"/>
    <w:rsid w:val="00597E4F"/>
    <w:rsid w:val="005A0402"/>
    <w:rsid w:val="005A0807"/>
    <w:rsid w:val="005A0ACC"/>
    <w:rsid w:val="005A1AD6"/>
    <w:rsid w:val="005A2FCA"/>
    <w:rsid w:val="005A2FCF"/>
    <w:rsid w:val="005A35EB"/>
    <w:rsid w:val="005A5DEE"/>
    <w:rsid w:val="005A62EC"/>
    <w:rsid w:val="005A6378"/>
    <w:rsid w:val="005B299D"/>
    <w:rsid w:val="005B2D02"/>
    <w:rsid w:val="005B65B4"/>
    <w:rsid w:val="005C0E2F"/>
    <w:rsid w:val="005C184A"/>
    <w:rsid w:val="005C230C"/>
    <w:rsid w:val="005C39C9"/>
    <w:rsid w:val="005C615B"/>
    <w:rsid w:val="005C65BF"/>
    <w:rsid w:val="005C6713"/>
    <w:rsid w:val="005C75AC"/>
    <w:rsid w:val="005C7AA9"/>
    <w:rsid w:val="005C7ABF"/>
    <w:rsid w:val="005C7C62"/>
    <w:rsid w:val="005D1EBD"/>
    <w:rsid w:val="005D28D1"/>
    <w:rsid w:val="005D4216"/>
    <w:rsid w:val="005D4CE3"/>
    <w:rsid w:val="005D58E1"/>
    <w:rsid w:val="005D637D"/>
    <w:rsid w:val="005D71F1"/>
    <w:rsid w:val="005D7FC2"/>
    <w:rsid w:val="005E052A"/>
    <w:rsid w:val="005E0A21"/>
    <w:rsid w:val="005E3E4F"/>
    <w:rsid w:val="005E4519"/>
    <w:rsid w:val="005E47BE"/>
    <w:rsid w:val="005E4918"/>
    <w:rsid w:val="005E5ECB"/>
    <w:rsid w:val="005E766F"/>
    <w:rsid w:val="005F030E"/>
    <w:rsid w:val="005F092C"/>
    <w:rsid w:val="005F0A29"/>
    <w:rsid w:val="005F3A6C"/>
    <w:rsid w:val="005F42A0"/>
    <w:rsid w:val="005F4BA0"/>
    <w:rsid w:val="005F615E"/>
    <w:rsid w:val="0060106E"/>
    <w:rsid w:val="006015B7"/>
    <w:rsid w:val="0060298B"/>
    <w:rsid w:val="00607B22"/>
    <w:rsid w:val="00611B88"/>
    <w:rsid w:val="00612EA3"/>
    <w:rsid w:val="006134EE"/>
    <w:rsid w:val="00615766"/>
    <w:rsid w:val="00616163"/>
    <w:rsid w:val="00616F53"/>
    <w:rsid w:val="00617EA1"/>
    <w:rsid w:val="006220B6"/>
    <w:rsid w:val="00623094"/>
    <w:rsid w:val="00623C80"/>
    <w:rsid w:val="0062542D"/>
    <w:rsid w:val="00626140"/>
    <w:rsid w:val="00631750"/>
    <w:rsid w:val="00631C0B"/>
    <w:rsid w:val="006320A8"/>
    <w:rsid w:val="006402A8"/>
    <w:rsid w:val="00642185"/>
    <w:rsid w:val="00642751"/>
    <w:rsid w:val="00642C67"/>
    <w:rsid w:val="00642CD6"/>
    <w:rsid w:val="00643E08"/>
    <w:rsid w:val="00643EC8"/>
    <w:rsid w:val="00645650"/>
    <w:rsid w:val="00645CCD"/>
    <w:rsid w:val="00646357"/>
    <w:rsid w:val="006467D3"/>
    <w:rsid w:val="006478C3"/>
    <w:rsid w:val="0065112F"/>
    <w:rsid w:val="0065342B"/>
    <w:rsid w:val="00656522"/>
    <w:rsid w:val="00656A21"/>
    <w:rsid w:val="00660ABB"/>
    <w:rsid w:val="00661653"/>
    <w:rsid w:val="00663345"/>
    <w:rsid w:val="00666294"/>
    <w:rsid w:val="00670128"/>
    <w:rsid w:val="00673E2F"/>
    <w:rsid w:val="006740B6"/>
    <w:rsid w:val="006769E0"/>
    <w:rsid w:val="00684E7C"/>
    <w:rsid w:val="00685F71"/>
    <w:rsid w:val="00693B02"/>
    <w:rsid w:val="006A1AC7"/>
    <w:rsid w:val="006A2E4D"/>
    <w:rsid w:val="006A34C9"/>
    <w:rsid w:val="006A72E6"/>
    <w:rsid w:val="006B0402"/>
    <w:rsid w:val="006B0BA6"/>
    <w:rsid w:val="006B1808"/>
    <w:rsid w:val="006B21DA"/>
    <w:rsid w:val="006B3264"/>
    <w:rsid w:val="006B5EF5"/>
    <w:rsid w:val="006C01C0"/>
    <w:rsid w:val="006C1CF3"/>
    <w:rsid w:val="006C2736"/>
    <w:rsid w:val="006C68C8"/>
    <w:rsid w:val="006C7263"/>
    <w:rsid w:val="006D13A9"/>
    <w:rsid w:val="006D140A"/>
    <w:rsid w:val="006D1D19"/>
    <w:rsid w:val="006D4EEA"/>
    <w:rsid w:val="006D5353"/>
    <w:rsid w:val="006D6959"/>
    <w:rsid w:val="006D6EAC"/>
    <w:rsid w:val="006D758F"/>
    <w:rsid w:val="006D79A7"/>
    <w:rsid w:val="006E1669"/>
    <w:rsid w:val="006E28A3"/>
    <w:rsid w:val="006E343E"/>
    <w:rsid w:val="006F0D2F"/>
    <w:rsid w:val="006F0F2F"/>
    <w:rsid w:val="006F70CC"/>
    <w:rsid w:val="006F7BE4"/>
    <w:rsid w:val="00701848"/>
    <w:rsid w:val="007036F8"/>
    <w:rsid w:val="00703B6E"/>
    <w:rsid w:val="00706260"/>
    <w:rsid w:val="00706B04"/>
    <w:rsid w:val="00707607"/>
    <w:rsid w:val="00707F19"/>
    <w:rsid w:val="00710D1B"/>
    <w:rsid w:val="00716EFB"/>
    <w:rsid w:val="00720093"/>
    <w:rsid w:val="00720F59"/>
    <w:rsid w:val="00721FBB"/>
    <w:rsid w:val="00724F24"/>
    <w:rsid w:val="0072517A"/>
    <w:rsid w:val="007254D5"/>
    <w:rsid w:val="00726CB5"/>
    <w:rsid w:val="00730F90"/>
    <w:rsid w:val="00731F85"/>
    <w:rsid w:val="00733E35"/>
    <w:rsid w:val="00735FEF"/>
    <w:rsid w:val="00736D98"/>
    <w:rsid w:val="00737A2E"/>
    <w:rsid w:val="00737BAD"/>
    <w:rsid w:val="00746A7E"/>
    <w:rsid w:val="00751B3F"/>
    <w:rsid w:val="00752325"/>
    <w:rsid w:val="00753310"/>
    <w:rsid w:val="00753E5A"/>
    <w:rsid w:val="007579C8"/>
    <w:rsid w:val="0076111C"/>
    <w:rsid w:val="007614AD"/>
    <w:rsid w:val="00762580"/>
    <w:rsid w:val="00765B5E"/>
    <w:rsid w:val="00766E51"/>
    <w:rsid w:val="007748C4"/>
    <w:rsid w:val="007755CD"/>
    <w:rsid w:val="00781A18"/>
    <w:rsid w:val="00782998"/>
    <w:rsid w:val="00784052"/>
    <w:rsid w:val="00784DC6"/>
    <w:rsid w:val="007850BF"/>
    <w:rsid w:val="00786EC2"/>
    <w:rsid w:val="00791414"/>
    <w:rsid w:val="007939F2"/>
    <w:rsid w:val="00794865"/>
    <w:rsid w:val="007A000D"/>
    <w:rsid w:val="007A06D2"/>
    <w:rsid w:val="007A1C8E"/>
    <w:rsid w:val="007A734D"/>
    <w:rsid w:val="007B0D4C"/>
    <w:rsid w:val="007B38F7"/>
    <w:rsid w:val="007B3FED"/>
    <w:rsid w:val="007B6D17"/>
    <w:rsid w:val="007B7E00"/>
    <w:rsid w:val="007C0824"/>
    <w:rsid w:val="007C1903"/>
    <w:rsid w:val="007C3F7B"/>
    <w:rsid w:val="007C4BA0"/>
    <w:rsid w:val="007D0DEF"/>
    <w:rsid w:val="007D183E"/>
    <w:rsid w:val="007D18CE"/>
    <w:rsid w:val="007D1A9B"/>
    <w:rsid w:val="007D243A"/>
    <w:rsid w:val="007D3638"/>
    <w:rsid w:val="007D4F68"/>
    <w:rsid w:val="007D57F9"/>
    <w:rsid w:val="007D69DE"/>
    <w:rsid w:val="007E4664"/>
    <w:rsid w:val="007E7AAF"/>
    <w:rsid w:val="007F16CC"/>
    <w:rsid w:val="007F2760"/>
    <w:rsid w:val="007F51F3"/>
    <w:rsid w:val="007F58F2"/>
    <w:rsid w:val="007F73F2"/>
    <w:rsid w:val="00800833"/>
    <w:rsid w:val="00801DBC"/>
    <w:rsid w:val="008030BC"/>
    <w:rsid w:val="008041B7"/>
    <w:rsid w:val="00805FDA"/>
    <w:rsid w:val="008074E9"/>
    <w:rsid w:val="008126FC"/>
    <w:rsid w:val="008156ED"/>
    <w:rsid w:val="008163AA"/>
    <w:rsid w:val="0082202A"/>
    <w:rsid w:val="008222EA"/>
    <w:rsid w:val="0082556A"/>
    <w:rsid w:val="00825F02"/>
    <w:rsid w:val="0082616B"/>
    <w:rsid w:val="00830282"/>
    <w:rsid w:val="00833B7B"/>
    <w:rsid w:val="00833E43"/>
    <w:rsid w:val="00840F3A"/>
    <w:rsid w:val="00842DEF"/>
    <w:rsid w:val="00846EB3"/>
    <w:rsid w:val="00851542"/>
    <w:rsid w:val="008519BF"/>
    <w:rsid w:val="008524D4"/>
    <w:rsid w:val="008565E6"/>
    <w:rsid w:val="00860142"/>
    <w:rsid w:val="00861865"/>
    <w:rsid w:val="00863228"/>
    <w:rsid w:val="008657C5"/>
    <w:rsid w:val="00865D52"/>
    <w:rsid w:val="00866DB4"/>
    <w:rsid w:val="00872B21"/>
    <w:rsid w:val="00877783"/>
    <w:rsid w:val="00882186"/>
    <w:rsid w:val="008869EF"/>
    <w:rsid w:val="008870EC"/>
    <w:rsid w:val="00890E0F"/>
    <w:rsid w:val="008A1BFE"/>
    <w:rsid w:val="008A2E17"/>
    <w:rsid w:val="008A5738"/>
    <w:rsid w:val="008A67F1"/>
    <w:rsid w:val="008B0520"/>
    <w:rsid w:val="008B07C0"/>
    <w:rsid w:val="008B0DBB"/>
    <w:rsid w:val="008B1548"/>
    <w:rsid w:val="008B44F7"/>
    <w:rsid w:val="008B48B4"/>
    <w:rsid w:val="008B50FA"/>
    <w:rsid w:val="008B61FC"/>
    <w:rsid w:val="008B64A5"/>
    <w:rsid w:val="008B6CAB"/>
    <w:rsid w:val="008B7A8D"/>
    <w:rsid w:val="008C0572"/>
    <w:rsid w:val="008C0802"/>
    <w:rsid w:val="008C2946"/>
    <w:rsid w:val="008C2C2E"/>
    <w:rsid w:val="008C3130"/>
    <w:rsid w:val="008C56A1"/>
    <w:rsid w:val="008C5B41"/>
    <w:rsid w:val="008C5D48"/>
    <w:rsid w:val="008C6C86"/>
    <w:rsid w:val="008D0C6A"/>
    <w:rsid w:val="008D2243"/>
    <w:rsid w:val="008D659E"/>
    <w:rsid w:val="008D7129"/>
    <w:rsid w:val="008E23C7"/>
    <w:rsid w:val="008E3E70"/>
    <w:rsid w:val="008E4B46"/>
    <w:rsid w:val="008E66E9"/>
    <w:rsid w:val="008E7C26"/>
    <w:rsid w:val="008F0B90"/>
    <w:rsid w:val="008F1C77"/>
    <w:rsid w:val="008F24C9"/>
    <w:rsid w:val="008F6D11"/>
    <w:rsid w:val="008F7B9F"/>
    <w:rsid w:val="00900344"/>
    <w:rsid w:val="00900451"/>
    <w:rsid w:val="00902BAC"/>
    <w:rsid w:val="0090379B"/>
    <w:rsid w:val="00904072"/>
    <w:rsid w:val="00904704"/>
    <w:rsid w:val="009050C5"/>
    <w:rsid w:val="00905299"/>
    <w:rsid w:val="00906AD8"/>
    <w:rsid w:val="00906C1F"/>
    <w:rsid w:val="00906DA8"/>
    <w:rsid w:val="0091146E"/>
    <w:rsid w:val="009136D6"/>
    <w:rsid w:val="009158DC"/>
    <w:rsid w:val="0091643D"/>
    <w:rsid w:val="00916F0B"/>
    <w:rsid w:val="00917997"/>
    <w:rsid w:val="00922B0D"/>
    <w:rsid w:val="009256C0"/>
    <w:rsid w:val="00934481"/>
    <w:rsid w:val="0093478C"/>
    <w:rsid w:val="009372FD"/>
    <w:rsid w:val="0093768F"/>
    <w:rsid w:val="00940265"/>
    <w:rsid w:val="009409C5"/>
    <w:rsid w:val="009414B9"/>
    <w:rsid w:val="00944375"/>
    <w:rsid w:val="0094508D"/>
    <w:rsid w:val="009451BD"/>
    <w:rsid w:val="00946427"/>
    <w:rsid w:val="00953066"/>
    <w:rsid w:val="009538DF"/>
    <w:rsid w:val="00955921"/>
    <w:rsid w:val="009611C6"/>
    <w:rsid w:val="00961D90"/>
    <w:rsid w:val="00963655"/>
    <w:rsid w:val="009653D3"/>
    <w:rsid w:val="00965844"/>
    <w:rsid w:val="00966920"/>
    <w:rsid w:val="00966A6A"/>
    <w:rsid w:val="00966AC6"/>
    <w:rsid w:val="00971AD5"/>
    <w:rsid w:val="00971DDB"/>
    <w:rsid w:val="009733EE"/>
    <w:rsid w:val="009743C6"/>
    <w:rsid w:val="00975ACB"/>
    <w:rsid w:val="009775CB"/>
    <w:rsid w:val="00981968"/>
    <w:rsid w:val="00981C83"/>
    <w:rsid w:val="009844ED"/>
    <w:rsid w:val="00990B55"/>
    <w:rsid w:val="00991B9D"/>
    <w:rsid w:val="00992676"/>
    <w:rsid w:val="00993225"/>
    <w:rsid w:val="009956CB"/>
    <w:rsid w:val="00995B3D"/>
    <w:rsid w:val="00996393"/>
    <w:rsid w:val="00996CD7"/>
    <w:rsid w:val="0099787E"/>
    <w:rsid w:val="009A213F"/>
    <w:rsid w:val="009A2164"/>
    <w:rsid w:val="009B088D"/>
    <w:rsid w:val="009B0D2F"/>
    <w:rsid w:val="009B42B1"/>
    <w:rsid w:val="009B5E0D"/>
    <w:rsid w:val="009B62BC"/>
    <w:rsid w:val="009B6CAA"/>
    <w:rsid w:val="009B72DC"/>
    <w:rsid w:val="009C0CA5"/>
    <w:rsid w:val="009C2981"/>
    <w:rsid w:val="009C2A05"/>
    <w:rsid w:val="009C36CD"/>
    <w:rsid w:val="009D0A91"/>
    <w:rsid w:val="009D2E04"/>
    <w:rsid w:val="009D36A4"/>
    <w:rsid w:val="009D4369"/>
    <w:rsid w:val="009D4717"/>
    <w:rsid w:val="009D49DE"/>
    <w:rsid w:val="009D54AE"/>
    <w:rsid w:val="009E26D0"/>
    <w:rsid w:val="009E2908"/>
    <w:rsid w:val="009E4E08"/>
    <w:rsid w:val="009E5258"/>
    <w:rsid w:val="009E5332"/>
    <w:rsid w:val="009E5BAC"/>
    <w:rsid w:val="009F10A0"/>
    <w:rsid w:val="009F140F"/>
    <w:rsid w:val="009F2190"/>
    <w:rsid w:val="009F28DD"/>
    <w:rsid w:val="009F338A"/>
    <w:rsid w:val="009F3F1C"/>
    <w:rsid w:val="009F4F55"/>
    <w:rsid w:val="009F538D"/>
    <w:rsid w:val="009F61E1"/>
    <w:rsid w:val="00A003EB"/>
    <w:rsid w:val="00A047D7"/>
    <w:rsid w:val="00A05FD1"/>
    <w:rsid w:val="00A07EC4"/>
    <w:rsid w:val="00A11714"/>
    <w:rsid w:val="00A117FE"/>
    <w:rsid w:val="00A162CE"/>
    <w:rsid w:val="00A16B12"/>
    <w:rsid w:val="00A17828"/>
    <w:rsid w:val="00A2246A"/>
    <w:rsid w:val="00A24424"/>
    <w:rsid w:val="00A262A6"/>
    <w:rsid w:val="00A26941"/>
    <w:rsid w:val="00A27E21"/>
    <w:rsid w:val="00A310F1"/>
    <w:rsid w:val="00A333B0"/>
    <w:rsid w:val="00A343B6"/>
    <w:rsid w:val="00A35F20"/>
    <w:rsid w:val="00A36F8A"/>
    <w:rsid w:val="00A3743F"/>
    <w:rsid w:val="00A42A0B"/>
    <w:rsid w:val="00A43FCC"/>
    <w:rsid w:val="00A44178"/>
    <w:rsid w:val="00A443F8"/>
    <w:rsid w:val="00A44F6E"/>
    <w:rsid w:val="00A45741"/>
    <w:rsid w:val="00A458A2"/>
    <w:rsid w:val="00A50055"/>
    <w:rsid w:val="00A516A1"/>
    <w:rsid w:val="00A5301D"/>
    <w:rsid w:val="00A540E6"/>
    <w:rsid w:val="00A55EE8"/>
    <w:rsid w:val="00A60299"/>
    <w:rsid w:val="00A648CB"/>
    <w:rsid w:val="00A67ED2"/>
    <w:rsid w:val="00A702E3"/>
    <w:rsid w:val="00A73BC4"/>
    <w:rsid w:val="00A7476C"/>
    <w:rsid w:val="00A753E3"/>
    <w:rsid w:val="00A7562B"/>
    <w:rsid w:val="00A75CBE"/>
    <w:rsid w:val="00A776B5"/>
    <w:rsid w:val="00A8480C"/>
    <w:rsid w:val="00A9160B"/>
    <w:rsid w:val="00A9372B"/>
    <w:rsid w:val="00A939A7"/>
    <w:rsid w:val="00A93F7E"/>
    <w:rsid w:val="00A941D2"/>
    <w:rsid w:val="00A949C9"/>
    <w:rsid w:val="00A95531"/>
    <w:rsid w:val="00A96F4E"/>
    <w:rsid w:val="00AA03DC"/>
    <w:rsid w:val="00AA5055"/>
    <w:rsid w:val="00AA6891"/>
    <w:rsid w:val="00AB0DC0"/>
    <w:rsid w:val="00AB149D"/>
    <w:rsid w:val="00AB27D3"/>
    <w:rsid w:val="00AB4456"/>
    <w:rsid w:val="00AB5C9D"/>
    <w:rsid w:val="00AB7115"/>
    <w:rsid w:val="00AB71AC"/>
    <w:rsid w:val="00AC0734"/>
    <w:rsid w:val="00AC0A92"/>
    <w:rsid w:val="00AC17E2"/>
    <w:rsid w:val="00AC3104"/>
    <w:rsid w:val="00AC3E0F"/>
    <w:rsid w:val="00AC4120"/>
    <w:rsid w:val="00AC440D"/>
    <w:rsid w:val="00AC4474"/>
    <w:rsid w:val="00AC4609"/>
    <w:rsid w:val="00AC7E1E"/>
    <w:rsid w:val="00AD0078"/>
    <w:rsid w:val="00AD22AB"/>
    <w:rsid w:val="00AD26F9"/>
    <w:rsid w:val="00AD6734"/>
    <w:rsid w:val="00AE6564"/>
    <w:rsid w:val="00AE7A8E"/>
    <w:rsid w:val="00AF0470"/>
    <w:rsid w:val="00AF7891"/>
    <w:rsid w:val="00B051CC"/>
    <w:rsid w:val="00B05996"/>
    <w:rsid w:val="00B07434"/>
    <w:rsid w:val="00B10ECF"/>
    <w:rsid w:val="00B12A7B"/>
    <w:rsid w:val="00B142BE"/>
    <w:rsid w:val="00B20EA3"/>
    <w:rsid w:val="00B22379"/>
    <w:rsid w:val="00B22847"/>
    <w:rsid w:val="00B22B5F"/>
    <w:rsid w:val="00B22D94"/>
    <w:rsid w:val="00B232B1"/>
    <w:rsid w:val="00B3008B"/>
    <w:rsid w:val="00B322A3"/>
    <w:rsid w:val="00B32320"/>
    <w:rsid w:val="00B32BF5"/>
    <w:rsid w:val="00B33694"/>
    <w:rsid w:val="00B35CCF"/>
    <w:rsid w:val="00B40017"/>
    <w:rsid w:val="00B41C41"/>
    <w:rsid w:val="00B425FC"/>
    <w:rsid w:val="00B42C04"/>
    <w:rsid w:val="00B43F95"/>
    <w:rsid w:val="00B44402"/>
    <w:rsid w:val="00B44C9D"/>
    <w:rsid w:val="00B46A02"/>
    <w:rsid w:val="00B47D32"/>
    <w:rsid w:val="00B50AA3"/>
    <w:rsid w:val="00B5125A"/>
    <w:rsid w:val="00B53C9D"/>
    <w:rsid w:val="00B54E5D"/>
    <w:rsid w:val="00B567E7"/>
    <w:rsid w:val="00B56F89"/>
    <w:rsid w:val="00B573A6"/>
    <w:rsid w:val="00B622C7"/>
    <w:rsid w:val="00B62E23"/>
    <w:rsid w:val="00B63548"/>
    <w:rsid w:val="00B64ABF"/>
    <w:rsid w:val="00B66E96"/>
    <w:rsid w:val="00B700B6"/>
    <w:rsid w:val="00B720B2"/>
    <w:rsid w:val="00B73B86"/>
    <w:rsid w:val="00B74290"/>
    <w:rsid w:val="00B745B7"/>
    <w:rsid w:val="00B803E3"/>
    <w:rsid w:val="00B82494"/>
    <w:rsid w:val="00B82A2F"/>
    <w:rsid w:val="00B834FA"/>
    <w:rsid w:val="00B84AFB"/>
    <w:rsid w:val="00B85028"/>
    <w:rsid w:val="00B922AB"/>
    <w:rsid w:val="00B9244C"/>
    <w:rsid w:val="00B92779"/>
    <w:rsid w:val="00B95EB7"/>
    <w:rsid w:val="00B9725A"/>
    <w:rsid w:val="00B9758B"/>
    <w:rsid w:val="00BA4E2B"/>
    <w:rsid w:val="00BB0550"/>
    <w:rsid w:val="00BB1FF9"/>
    <w:rsid w:val="00BB5CFB"/>
    <w:rsid w:val="00BB6AB3"/>
    <w:rsid w:val="00BB6AF3"/>
    <w:rsid w:val="00BC0CAA"/>
    <w:rsid w:val="00BC1A0D"/>
    <w:rsid w:val="00BC26FA"/>
    <w:rsid w:val="00BC28E1"/>
    <w:rsid w:val="00BC6B28"/>
    <w:rsid w:val="00BC7189"/>
    <w:rsid w:val="00BC7928"/>
    <w:rsid w:val="00BD1C3F"/>
    <w:rsid w:val="00BD3492"/>
    <w:rsid w:val="00BD6D62"/>
    <w:rsid w:val="00BD78CE"/>
    <w:rsid w:val="00BE041F"/>
    <w:rsid w:val="00BE08B9"/>
    <w:rsid w:val="00BE0BB1"/>
    <w:rsid w:val="00BE127A"/>
    <w:rsid w:val="00BE48CE"/>
    <w:rsid w:val="00BE64FD"/>
    <w:rsid w:val="00BE6B50"/>
    <w:rsid w:val="00BF537B"/>
    <w:rsid w:val="00BF5514"/>
    <w:rsid w:val="00BF5E41"/>
    <w:rsid w:val="00BF721E"/>
    <w:rsid w:val="00C008B1"/>
    <w:rsid w:val="00C01108"/>
    <w:rsid w:val="00C01219"/>
    <w:rsid w:val="00C01362"/>
    <w:rsid w:val="00C0479C"/>
    <w:rsid w:val="00C10077"/>
    <w:rsid w:val="00C1197C"/>
    <w:rsid w:val="00C178DC"/>
    <w:rsid w:val="00C21FCD"/>
    <w:rsid w:val="00C22135"/>
    <w:rsid w:val="00C2407B"/>
    <w:rsid w:val="00C24E20"/>
    <w:rsid w:val="00C253F2"/>
    <w:rsid w:val="00C2717D"/>
    <w:rsid w:val="00C30DFA"/>
    <w:rsid w:val="00C31C59"/>
    <w:rsid w:val="00C31F55"/>
    <w:rsid w:val="00C334D9"/>
    <w:rsid w:val="00C3565A"/>
    <w:rsid w:val="00C36E2F"/>
    <w:rsid w:val="00C400A9"/>
    <w:rsid w:val="00C4144D"/>
    <w:rsid w:val="00C428EB"/>
    <w:rsid w:val="00C53363"/>
    <w:rsid w:val="00C53791"/>
    <w:rsid w:val="00C5379F"/>
    <w:rsid w:val="00C5428D"/>
    <w:rsid w:val="00C55D5D"/>
    <w:rsid w:val="00C5765E"/>
    <w:rsid w:val="00C57A7D"/>
    <w:rsid w:val="00C6176B"/>
    <w:rsid w:val="00C70797"/>
    <w:rsid w:val="00C7108D"/>
    <w:rsid w:val="00C710C0"/>
    <w:rsid w:val="00C71F1C"/>
    <w:rsid w:val="00C75123"/>
    <w:rsid w:val="00C76025"/>
    <w:rsid w:val="00C85CCE"/>
    <w:rsid w:val="00C866A8"/>
    <w:rsid w:val="00C91EDF"/>
    <w:rsid w:val="00C9397B"/>
    <w:rsid w:val="00C93E7C"/>
    <w:rsid w:val="00C9410B"/>
    <w:rsid w:val="00C9553E"/>
    <w:rsid w:val="00C95612"/>
    <w:rsid w:val="00C95A3D"/>
    <w:rsid w:val="00C97A2E"/>
    <w:rsid w:val="00CA372B"/>
    <w:rsid w:val="00CA39EB"/>
    <w:rsid w:val="00CA48CA"/>
    <w:rsid w:val="00CA54F4"/>
    <w:rsid w:val="00CA70BC"/>
    <w:rsid w:val="00CB0DD7"/>
    <w:rsid w:val="00CB1720"/>
    <w:rsid w:val="00CB2132"/>
    <w:rsid w:val="00CB3607"/>
    <w:rsid w:val="00CB401B"/>
    <w:rsid w:val="00CB624B"/>
    <w:rsid w:val="00CB6A3A"/>
    <w:rsid w:val="00CB6BCC"/>
    <w:rsid w:val="00CB6DB9"/>
    <w:rsid w:val="00CC18A1"/>
    <w:rsid w:val="00CC2B85"/>
    <w:rsid w:val="00CC442C"/>
    <w:rsid w:val="00CC62A5"/>
    <w:rsid w:val="00CC6A65"/>
    <w:rsid w:val="00CC79B6"/>
    <w:rsid w:val="00CD24F2"/>
    <w:rsid w:val="00CD4541"/>
    <w:rsid w:val="00CD65EF"/>
    <w:rsid w:val="00CE3159"/>
    <w:rsid w:val="00CE3C59"/>
    <w:rsid w:val="00CE6B33"/>
    <w:rsid w:val="00CE73E6"/>
    <w:rsid w:val="00CF06D8"/>
    <w:rsid w:val="00CF636D"/>
    <w:rsid w:val="00CF7EDF"/>
    <w:rsid w:val="00D00697"/>
    <w:rsid w:val="00D00BB0"/>
    <w:rsid w:val="00D01F07"/>
    <w:rsid w:val="00D02BC4"/>
    <w:rsid w:val="00D02FF4"/>
    <w:rsid w:val="00D03BBC"/>
    <w:rsid w:val="00D04068"/>
    <w:rsid w:val="00D0409A"/>
    <w:rsid w:val="00D046D1"/>
    <w:rsid w:val="00D05987"/>
    <w:rsid w:val="00D072F2"/>
    <w:rsid w:val="00D10131"/>
    <w:rsid w:val="00D108E1"/>
    <w:rsid w:val="00D11D92"/>
    <w:rsid w:val="00D15E9D"/>
    <w:rsid w:val="00D1604C"/>
    <w:rsid w:val="00D179F6"/>
    <w:rsid w:val="00D20BFB"/>
    <w:rsid w:val="00D22901"/>
    <w:rsid w:val="00D262A1"/>
    <w:rsid w:val="00D26313"/>
    <w:rsid w:val="00D27FFC"/>
    <w:rsid w:val="00D31A52"/>
    <w:rsid w:val="00D32BF7"/>
    <w:rsid w:val="00D33387"/>
    <w:rsid w:val="00D334FC"/>
    <w:rsid w:val="00D337F3"/>
    <w:rsid w:val="00D33BD8"/>
    <w:rsid w:val="00D33BF2"/>
    <w:rsid w:val="00D34D1A"/>
    <w:rsid w:val="00D36D15"/>
    <w:rsid w:val="00D40823"/>
    <w:rsid w:val="00D422C7"/>
    <w:rsid w:val="00D425BB"/>
    <w:rsid w:val="00D43DB5"/>
    <w:rsid w:val="00D46EF0"/>
    <w:rsid w:val="00D47848"/>
    <w:rsid w:val="00D50183"/>
    <w:rsid w:val="00D53BE5"/>
    <w:rsid w:val="00D53BF9"/>
    <w:rsid w:val="00D55C5E"/>
    <w:rsid w:val="00D60A0F"/>
    <w:rsid w:val="00D6109B"/>
    <w:rsid w:val="00D61E0A"/>
    <w:rsid w:val="00D64F34"/>
    <w:rsid w:val="00D65145"/>
    <w:rsid w:val="00D72F93"/>
    <w:rsid w:val="00D73044"/>
    <w:rsid w:val="00D750A8"/>
    <w:rsid w:val="00D75B82"/>
    <w:rsid w:val="00D76FD8"/>
    <w:rsid w:val="00D801A9"/>
    <w:rsid w:val="00D84201"/>
    <w:rsid w:val="00D84D44"/>
    <w:rsid w:val="00D851DB"/>
    <w:rsid w:val="00D85DFB"/>
    <w:rsid w:val="00D86A81"/>
    <w:rsid w:val="00D87686"/>
    <w:rsid w:val="00D90AAB"/>
    <w:rsid w:val="00D91EE4"/>
    <w:rsid w:val="00D9355D"/>
    <w:rsid w:val="00DA0E01"/>
    <w:rsid w:val="00DA1FC6"/>
    <w:rsid w:val="00DA2370"/>
    <w:rsid w:val="00DA2961"/>
    <w:rsid w:val="00DA33F3"/>
    <w:rsid w:val="00DA34CA"/>
    <w:rsid w:val="00DA43E3"/>
    <w:rsid w:val="00DA4B9A"/>
    <w:rsid w:val="00DA7581"/>
    <w:rsid w:val="00DB037B"/>
    <w:rsid w:val="00DB2DDD"/>
    <w:rsid w:val="00DB4970"/>
    <w:rsid w:val="00DB507B"/>
    <w:rsid w:val="00DB717E"/>
    <w:rsid w:val="00DC0FC7"/>
    <w:rsid w:val="00DC4EF4"/>
    <w:rsid w:val="00DD0540"/>
    <w:rsid w:val="00DD1300"/>
    <w:rsid w:val="00DD19F0"/>
    <w:rsid w:val="00DD2C89"/>
    <w:rsid w:val="00DD3AA1"/>
    <w:rsid w:val="00DD5A47"/>
    <w:rsid w:val="00DD7A07"/>
    <w:rsid w:val="00DD7E77"/>
    <w:rsid w:val="00DE3FB7"/>
    <w:rsid w:val="00DE426F"/>
    <w:rsid w:val="00DE4E8A"/>
    <w:rsid w:val="00DE563C"/>
    <w:rsid w:val="00DE5820"/>
    <w:rsid w:val="00DE7045"/>
    <w:rsid w:val="00DF09FB"/>
    <w:rsid w:val="00DF1DBC"/>
    <w:rsid w:val="00DF25CC"/>
    <w:rsid w:val="00DF2BB7"/>
    <w:rsid w:val="00DF2C47"/>
    <w:rsid w:val="00DF3D62"/>
    <w:rsid w:val="00DF3DFB"/>
    <w:rsid w:val="00DF3E6F"/>
    <w:rsid w:val="00DF607A"/>
    <w:rsid w:val="00DF76DD"/>
    <w:rsid w:val="00E0288B"/>
    <w:rsid w:val="00E0549A"/>
    <w:rsid w:val="00E06057"/>
    <w:rsid w:val="00E06C88"/>
    <w:rsid w:val="00E107FF"/>
    <w:rsid w:val="00E108EF"/>
    <w:rsid w:val="00E11535"/>
    <w:rsid w:val="00E12492"/>
    <w:rsid w:val="00E12DB1"/>
    <w:rsid w:val="00E132B6"/>
    <w:rsid w:val="00E133A1"/>
    <w:rsid w:val="00E13D62"/>
    <w:rsid w:val="00E145F6"/>
    <w:rsid w:val="00E159A8"/>
    <w:rsid w:val="00E22127"/>
    <w:rsid w:val="00E2297A"/>
    <w:rsid w:val="00E24FA4"/>
    <w:rsid w:val="00E25B88"/>
    <w:rsid w:val="00E307ED"/>
    <w:rsid w:val="00E3227D"/>
    <w:rsid w:val="00E36930"/>
    <w:rsid w:val="00E44919"/>
    <w:rsid w:val="00E45257"/>
    <w:rsid w:val="00E4788A"/>
    <w:rsid w:val="00E50E6B"/>
    <w:rsid w:val="00E5370E"/>
    <w:rsid w:val="00E57A28"/>
    <w:rsid w:val="00E57D3A"/>
    <w:rsid w:val="00E604B6"/>
    <w:rsid w:val="00E60BEA"/>
    <w:rsid w:val="00E6362E"/>
    <w:rsid w:val="00E63687"/>
    <w:rsid w:val="00E63D3B"/>
    <w:rsid w:val="00E6589B"/>
    <w:rsid w:val="00E65B25"/>
    <w:rsid w:val="00E6768C"/>
    <w:rsid w:val="00E678CF"/>
    <w:rsid w:val="00E70506"/>
    <w:rsid w:val="00E7411C"/>
    <w:rsid w:val="00E7412E"/>
    <w:rsid w:val="00E76D2B"/>
    <w:rsid w:val="00E802DB"/>
    <w:rsid w:val="00E810E1"/>
    <w:rsid w:val="00E84AFB"/>
    <w:rsid w:val="00E84B40"/>
    <w:rsid w:val="00E854FF"/>
    <w:rsid w:val="00E91BFF"/>
    <w:rsid w:val="00E9550C"/>
    <w:rsid w:val="00EA09D5"/>
    <w:rsid w:val="00EA1BDB"/>
    <w:rsid w:val="00EA2E11"/>
    <w:rsid w:val="00EA347C"/>
    <w:rsid w:val="00EA49CF"/>
    <w:rsid w:val="00EA5F0B"/>
    <w:rsid w:val="00EA6496"/>
    <w:rsid w:val="00EA6D67"/>
    <w:rsid w:val="00EB3428"/>
    <w:rsid w:val="00EB7A46"/>
    <w:rsid w:val="00EC1D0F"/>
    <w:rsid w:val="00EC23DA"/>
    <w:rsid w:val="00EC3945"/>
    <w:rsid w:val="00EC3CE8"/>
    <w:rsid w:val="00EC4D58"/>
    <w:rsid w:val="00EC4DA9"/>
    <w:rsid w:val="00EC6B6B"/>
    <w:rsid w:val="00ED104A"/>
    <w:rsid w:val="00ED4858"/>
    <w:rsid w:val="00ED51DE"/>
    <w:rsid w:val="00ED58B4"/>
    <w:rsid w:val="00ED67D9"/>
    <w:rsid w:val="00ED780A"/>
    <w:rsid w:val="00ED7FCD"/>
    <w:rsid w:val="00EE10AB"/>
    <w:rsid w:val="00EE43C9"/>
    <w:rsid w:val="00EE599B"/>
    <w:rsid w:val="00EE59A5"/>
    <w:rsid w:val="00EE5E88"/>
    <w:rsid w:val="00EE64A3"/>
    <w:rsid w:val="00EE7965"/>
    <w:rsid w:val="00EF1852"/>
    <w:rsid w:val="00EF272A"/>
    <w:rsid w:val="00EF5D93"/>
    <w:rsid w:val="00EF6088"/>
    <w:rsid w:val="00EF7CB1"/>
    <w:rsid w:val="00F02766"/>
    <w:rsid w:val="00F029B1"/>
    <w:rsid w:val="00F03175"/>
    <w:rsid w:val="00F05FEF"/>
    <w:rsid w:val="00F10BB5"/>
    <w:rsid w:val="00F11B70"/>
    <w:rsid w:val="00F14EDE"/>
    <w:rsid w:val="00F15084"/>
    <w:rsid w:val="00F160D1"/>
    <w:rsid w:val="00F16858"/>
    <w:rsid w:val="00F17A52"/>
    <w:rsid w:val="00F21902"/>
    <w:rsid w:val="00F23AF7"/>
    <w:rsid w:val="00F23D56"/>
    <w:rsid w:val="00F23D5C"/>
    <w:rsid w:val="00F253E5"/>
    <w:rsid w:val="00F254F0"/>
    <w:rsid w:val="00F25E47"/>
    <w:rsid w:val="00F276BD"/>
    <w:rsid w:val="00F31535"/>
    <w:rsid w:val="00F349D0"/>
    <w:rsid w:val="00F37745"/>
    <w:rsid w:val="00F411C3"/>
    <w:rsid w:val="00F42407"/>
    <w:rsid w:val="00F424B1"/>
    <w:rsid w:val="00F430FE"/>
    <w:rsid w:val="00F43E53"/>
    <w:rsid w:val="00F453C5"/>
    <w:rsid w:val="00F506A4"/>
    <w:rsid w:val="00F51C46"/>
    <w:rsid w:val="00F52CE2"/>
    <w:rsid w:val="00F54C40"/>
    <w:rsid w:val="00F6078B"/>
    <w:rsid w:val="00F64844"/>
    <w:rsid w:val="00F648D4"/>
    <w:rsid w:val="00F65EE5"/>
    <w:rsid w:val="00F6791B"/>
    <w:rsid w:val="00F67B04"/>
    <w:rsid w:val="00F70B20"/>
    <w:rsid w:val="00F71AFE"/>
    <w:rsid w:val="00F72BD3"/>
    <w:rsid w:val="00F7322B"/>
    <w:rsid w:val="00F73FD3"/>
    <w:rsid w:val="00F7444C"/>
    <w:rsid w:val="00F75A0F"/>
    <w:rsid w:val="00F75BC4"/>
    <w:rsid w:val="00F762B5"/>
    <w:rsid w:val="00F763BE"/>
    <w:rsid w:val="00F76614"/>
    <w:rsid w:val="00F76CC8"/>
    <w:rsid w:val="00F805CC"/>
    <w:rsid w:val="00F808F3"/>
    <w:rsid w:val="00F81367"/>
    <w:rsid w:val="00F82B56"/>
    <w:rsid w:val="00F85CDE"/>
    <w:rsid w:val="00F878E5"/>
    <w:rsid w:val="00F87A86"/>
    <w:rsid w:val="00F90EF7"/>
    <w:rsid w:val="00F9343B"/>
    <w:rsid w:val="00F93477"/>
    <w:rsid w:val="00F93FE2"/>
    <w:rsid w:val="00F95AAA"/>
    <w:rsid w:val="00F9751E"/>
    <w:rsid w:val="00FA0FF6"/>
    <w:rsid w:val="00FA2635"/>
    <w:rsid w:val="00FA2A81"/>
    <w:rsid w:val="00FA379D"/>
    <w:rsid w:val="00FA413D"/>
    <w:rsid w:val="00FA6C97"/>
    <w:rsid w:val="00FA7946"/>
    <w:rsid w:val="00FA7D1C"/>
    <w:rsid w:val="00FB0D3C"/>
    <w:rsid w:val="00FB545B"/>
    <w:rsid w:val="00FB567D"/>
    <w:rsid w:val="00FC06E6"/>
    <w:rsid w:val="00FC08DD"/>
    <w:rsid w:val="00FC1CCD"/>
    <w:rsid w:val="00FC1E11"/>
    <w:rsid w:val="00FC42A1"/>
    <w:rsid w:val="00FC6648"/>
    <w:rsid w:val="00FC6F5F"/>
    <w:rsid w:val="00FD5611"/>
    <w:rsid w:val="00FD70F3"/>
    <w:rsid w:val="00FE3A0C"/>
    <w:rsid w:val="00FE749A"/>
    <w:rsid w:val="00FF0733"/>
    <w:rsid w:val="00FF42E4"/>
    <w:rsid w:val="00FF4EED"/>
    <w:rsid w:val="00FF508D"/>
    <w:rsid w:val="00FF6675"/>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 w:type="character" w:styleId="NichtaufgelsteErwhnung">
    <w:name w:val="Unresolved Mention"/>
    <w:basedOn w:val="Absatz-Standardschriftart"/>
    <w:uiPriority w:val="99"/>
    <w:semiHidden/>
    <w:unhideWhenUsed/>
    <w:rsid w:val="003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3788">
      <w:bodyDiv w:val="1"/>
      <w:marLeft w:val="0"/>
      <w:marRight w:val="0"/>
      <w:marTop w:val="0"/>
      <w:marBottom w:val="0"/>
      <w:divBdr>
        <w:top w:val="none" w:sz="0" w:space="0" w:color="auto"/>
        <w:left w:val="none" w:sz="0" w:space="0" w:color="auto"/>
        <w:bottom w:val="none" w:sz="0" w:space="0" w:color="auto"/>
        <w:right w:val="none" w:sz="0" w:space="0" w:color="auto"/>
      </w:divBdr>
      <w:divsChild>
        <w:div w:id="2019581156">
          <w:marLeft w:val="0"/>
          <w:marRight w:val="0"/>
          <w:marTop w:val="0"/>
          <w:marBottom w:val="0"/>
          <w:divBdr>
            <w:top w:val="none" w:sz="0" w:space="0" w:color="auto"/>
            <w:left w:val="none" w:sz="0" w:space="0" w:color="auto"/>
            <w:bottom w:val="none" w:sz="0" w:space="0" w:color="auto"/>
            <w:right w:val="none" w:sz="0" w:space="0" w:color="auto"/>
          </w:divBdr>
          <w:divsChild>
            <w:div w:id="1552040784">
              <w:marLeft w:val="0"/>
              <w:marRight w:val="0"/>
              <w:marTop w:val="0"/>
              <w:marBottom w:val="0"/>
              <w:divBdr>
                <w:top w:val="none" w:sz="0" w:space="0" w:color="auto"/>
                <w:left w:val="none" w:sz="0" w:space="0" w:color="auto"/>
                <w:bottom w:val="none" w:sz="0" w:space="0" w:color="auto"/>
                <w:right w:val="none" w:sz="0" w:space="0" w:color="auto"/>
              </w:divBdr>
              <w:divsChild>
                <w:div w:id="2234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4964">
      <w:bodyDiv w:val="1"/>
      <w:marLeft w:val="0"/>
      <w:marRight w:val="0"/>
      <w:marTop w:val="0"/>
      <w:marBottom w:val="0"/>
      <w:divBdr>
        <w:top w:val="none" w:sz="0" w:space="0" w:color="auto"/>
        <w:left w:val="none" w:sz="0" w:space="0" w:color="auto"/>
        <w:bottom w:val="none" w:sz="0" w:space="0" w:color="auto"/>
        <w:right w:val="none" w:sz="0" w:space="0" w:color="auto"/>
      </w:divBdr>
      <w:divsChild>
        <w:div w:id="1309167163">
          <w:marLeft w:val="0"/>
          <w:marRight w:val="0"/>
          <w:marTop w:val="0"/>
          <w:marBottom w:val="0"/>
          <w:divBdr>
            <w:top w:val="none" w:sz="0" w:space="0" w:color="auto"/>
            <w:left w:val="none" w:sz="0" w:space="0" w:color="auto"/>
            <w:bottom w:val="none" w:sz="0" w:space="0" w:color="auto"/>
            <w:right w:val="none" w:sz="0" w:space="0" w:color="auto"/>
          </w:divBdr>
          <w:divsChild>
            <w:div w:id="1687632225">
              <w:marLeft w:val="0"/>
              <w:marRight w:val="0"/>
              <w:marTop w:val="0"/>
              <w:marBottom w:val="0"/>
              <w:divBdr>
                <w:top w:val="none" w:sz="0" w:space="0" w:color="auto"/>
                <w:left w:val="none" w:sz="0" w:space="0" w:color="auto"/>
                <w:bottom w:val="none" w:sz="0" w:space="0" w:color="auto"/>
                <w:right w:val="none" w:sz="0" w:space="0" w:color="auto"/>
              </w:divBdr>
              <w:divsChild>
                <w:div w:id="1866746798">
                  <w:marLeft w:val="0"/>
                  <w:marRight w:val="0"/>
                  <w:marTop w:val="0"/>
                  <w:marBottom w:val="0"/>
                  <w:divBdr>
                    <w:top w:val="none" w:sz="0" w:space="0" w:color="auto"/>
                    <w:left w:val="none" w:sz="0" w:space="0" w:color="auto"/>
                    <w:bottom w:val="none" w:sz="0" w:space="0" w:color="auto"/>
                    <w:right w:val="none" w:sz="0" w:space="0" w:color="auto"/>
                  </w:divBdr>
                  <w:divsChild>
                    <w:div w:id="10735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589843785">
      <w:bodyDiv w:val="1"/>
      <w:marLeft w:val="0"/>
      <w:marRight w:val="0"/>
      <w:marTop w:val="0"/>
      <w:marBottom w:val="0"/>
      <w:divBdr>
        <w:top w:val="none" w:sz="0" w:space="0" w:color="auto"/>
        <w:left w:val="none" w:sz="0" w:space="0" w:color="auto"/>
        <w:bottom w:val="none" w:sz="0" w:space="0" w:color="auto"/>
        <w:right w:val="none" w:sz="0" w:space="0" w:color="auto"/>
      </w:divBdr>
    </w:div>
    <w:div w:id="1620263840">
      <w:bodyDiv w:val="1"/>
      <w:marLeft w:val="0"/>
      <w:marRight w:val="0"/>
      <w:marTop w:val="0"/>
      <w:marBottom w:val="0"/>
      <w:divBdr>
        <w:top w:val="none" w:sz="0" w:space="0" w:color="auto"/>
        <w:left w:val="none" w:sz="0" w:space="0" w:color="auto"/>
        <w:bottom w:val="none" w:sz="0" w:space="0" w:color="auto"/>
        <w:right w:val="none" w:sz="0" w:space="0" w:color="auto"/>
      </w:divBdr>
      <w:divsChild>
        <w:div w:id="1199467867">
          <w:marLeft w:val="0"/>
          <w:marRight w:val="0"/>
          <w:marTop w:val="0"/>
          <w:marBottom w:val="0"/>
          <w:divBdr>
            <w:top w:val="none" w:sz="0" w:space="0" w:color="auto"/>
            <w:left w:val="none" w:sz="0" w:space="0" w:color="auto"/>
            <w:bottom w:val="none" w:sz="0" w:space="0" w:color="auto"/>
            <w:right w:val="none" w:sz="0" w:space="0" w:color="auto"/>
          </w:divBdr>
        </w:div>
      </w:divsChild>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A918-4361-4861-80F4-7713305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C:\Users\kuerschner\AppData\Local\Microsoft\Windows\Temporary Internet Files\Content.Outlook\4M2LS2M2\2018_03_05_Presseinformation.dotx</Template>
  <TotalTime>0</TotalTime>
  <Pages>4</Pages>
  <Words>1041</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7587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Jens Eßer | PSM&amp;W</cp:lastModifiedBy>
  <cp:revision>2</cp:revision>
  <cp:lastPrinted>2020-08-19T13:25:00Z</cp:lastPrinted>
  <dcterms:created xsi:type="dcterms:W3CDTF">2022-07-27T15:51:00Z</dcterms:created>
  <dcterms:modified xsi:type="dcterms:W3CDTF">2022-07-27T15:51:00Z</dcterms:modified>
</cp:coreProperties>
</file>