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57E4" w14:textId="77777777" w:rsidR="0062542D" w:rsidRPr="0062542D" w:rsidRDefault="00C01362" w:rsidP="0062542D">
      <w:pPr>
        <w:pStyle w:val="SMCTemplate"/>
        <w:spacing w:before="0" w:after="0"/>
        <w:jc w:val="right"/>
        <w:rPr>
          <w:sz w:val="44"/>
          <w:szCs w:val="44"/>
        </w:rPr>
      </w:pPr>
      <w:bookmarkStart w:id="0" w:name="_GoBack"/>
      <w:bookmarkEnd w:id="0"/>
      <w:r w:rsidRPr="0062542D">
        <w:rPr>
          <w:sz w:val="44"/>
          <w:szCs w:val="44"/>
        </w:rPr>
        <w:t>Presseinformation</w:t>
      </w:r>
    </w:p>
    <w:p w14:paraId="7651B8B1" w14:textId="74CD002E" w:rsidR="0062542D" w:rsidRPr="0062542D" w:rsidRDefault="005E052A" w:rsidP="0062542D">
      <w:pPr>
        <w:spacing w:before="120"/>
        <w:jc w:val="right"/>
      </w:pPr>
      <w:r>
        <w:t xml:space="preserve">Egelsbach, </w:t>
      </w:r>
      <w:r w:rsidR="0062568F">
        <w:t xml:space="preserve">Oktober </w:t>
      </w:r>
      <w:r w:rsidR="008B4EC1">
        <w:t>2019</w:t>
      </w:r>
    </w:p>
    <w:p w14:paraId="38274999" w14:textId="77777777" w:rsidR="0062542D" w:rsidRDefault="0062542D" w:rsidP="0062542D">
      <w:pPr>
        <w:pStyle w:val="SMCUntertitel"/>
        <w:spacing w:before="0" w:after="0"/>
        <w:rPr>
          <w:b/>
          <w:sz w:val="30"/>
          <w:szCs w:val="30"/>
        </w:rPr>
      </w:pPr>
    </w:p>
    <w:p w14:paraId="563F509E" w14:textId="77777777" w:rsidR="007D183E" w:rsidRDefault="007D183E" w:rsidP="0062542D">
      <w:pPr>
        <w:pStyle w:val="SMCUntertitel"/>
        <w:spacing w:before="120" w:after="0"/>
        <w:rPr>
          <w:b/>
          <w:sz w:val="30"/>
          <w:szCs w:val="30"/>
        </w:rPr>
      </w:pPr>
    </w:p>
    <w:p w14:paraId="560495AA" w14:textId="37984D89" w:rsidR="00F762B5" w:rsidRPr="00B32BF5" w:rsidRDefault="00D85DFB" w:rsidP="003F1CA4">
      <w:pPr>
        <w:spacing w:after="120"/>
        <w:rPr>
          <w:b/>
          <w:color w:val="2A60AA" w:themeColor="accent1"/>
          <w:sz w:val="30"/>
          <w:szCs w:val="30"/>
        </w:rPr>
      </w:pPr>
      <w:bookmarkStart w:id="1" w:name="_Hlk22133381"/>
      <w:r>
        <w:rPr>
          <w:b/>
          <w:color w:val="2A60AA" w:themeColor="accent1"/>
          <w:sz w:val="30"/>
          <w:szCs w:val="30"/>
        </w:rPr>
        <w:t xml:space="preserve">SMC </w:t>
      </w:r>
      <w:r w:rsidR="007E5184">
        <w:rPr>
          <w:b/>
          <w:color w:val="2A60AA" w:themeColor="accent1"/>
          <w:sz w:val="30"/>
          <w:szCs w:val="30"/>
        </w:rPr>
        <w:t xml:space="preserve">modifiziert Hochvakuum-Eckventile </w:t>
      </w:r>
      <w:r w:rsidR="009638E6">
        <w:rPr>
          <w:b/>
          <w:color w:val="2A60AA" w:themeColor="accent1"/>
          <w:sz w:val="30"/>
          <w:szCs w:val="30"/>
        </w:rPr>
        <w:t>der Serie XL</w:t>
      </w:r>
    </w:p>
    <w:p w14:paraId="2806C1EA" w14:textId="2D2F51F7" w:rsidR="00782998" w:rsidRDefault="00D85DFB" w:rsidP="001E0B84">
      <w:pPr>
        <w:spacing w:line="360" w:lineRule="atLeast"/>
        <w:rPr>
          <w:rFonts w:asciiTheme="majorHAnsi" w:eastAsiaTheme="majorEastAsia" w:hAnsiTheme="majorHAnsi" w:cstheme="majorBidi"/>
          <w:b/>
          <w:szCs w:val="32"/>
        </w:rPr>
      </w:pPr>
      <w:r>
        <w:rPr>
          <w:rFonts w:asciiTheme="majorHAnsi" w:eastAsiaTheme="majorEastAsia" w:hAnsiTheme="majorHAnsi" w:cstheme="majorBidi"/>
          <w:b/>
          <w:szCs w:val="32"/>
        </w:rPr>
        <w:t>Ausstattung mit Elektromagnetventil</w:t>
      </w:r>
      <w:r w:rsidR="00C10077">
        <w:rPr>
          <w:rFonts w:asciiTheme="majorHAnsi" w:eastAsiaTheme="majorEastAsia" w:hAnsiTheme="majorHAnsi" w:cstheme="majorBidi"/>
          <w:b/>
          <w:szCs w:val="32"/>
        </w:rPr>
        <w:t>,</w:t>
      </w:r>
      <w:r>
        <w:rPr>
          <w:rFonts w:asciiTheme="majorHAnsi" w:eastAsiaTheme="majorEastAsia" w:hAnsiTheme="majorHAnsi" w:cstheme="majorBidi"/>
          <w:b/>
          <w:szCs w:val="32"/>
        </w:rPr>
        <w:t xml:space="preserve"> </w:t>
      </w:r>
      <w:r w:rsidR="007544FE">
        <w:rPr>
          <w:rFonts w:asciiTheme="majorHAnsi" w:eastAsiaTheme="majorEastAsia" w:hAnsiTheme="majorHAnsi" w:cstheme="majorBidi"/>
          <w:b/>
          <w:szCs w:val="32"/>
        </w:rPr>
        <w:t>austauschbarer Faltenbalg</w:t>
      </w:r>
      <w:r w:rsidR="00C10077">
        <w:rPr>
          <w:rFonts w:asciiTheme="majorHAnsi" w:eastAsiaTheme="majorEastAsia" w:hAnsiTheme="majorHAnsi" w:cstheme="majorBidi"/>
          <w:b/>
          <w:szCs w:val="32"/>
        </w:rPr>
        <w:t xml:space="preserve"> </w:t>
      </w:r>
      <w:r>
        <w:rPr>
          <w:rFonts w:asciiTheme="majorHAnsi" w:eastAsiaTheme="majorEastAsia" w:hAnsiTheme="majorHAnsi" w:cstheme="majorBidi"/>
          <w:b/>
          <w:szCs w:val="32"/>
        </w:rPr>
        <w:t>und eine</w:t>
      </w:r>
      <w:r w:rsidR="00445B65">
        <w:rPr>
          <w:rFonts w:asciiTheme="majorHAnsi" w:eastAsiaTheme="majorEastAsia" w:hAnsiTheme="majorHAnsi" w:cstheme="majorBidi"/>
          <w:b/>
          <w:szCs w:val="32"/>
        </w:rPr>
        <w:t xml:space="preserve"> neue </w:t>
      </w:r>
      <w:r>
        <w:rPr>
          <w:rFonts w:asciiTheme="majorHAnsi" w:eastAsiaTheme="majorEastAsia" w:hAnsiTheme="majorHAnsi" w:cstheme="majorBidi"/>
          <w:b/>
          <w:szCs w:val="32"/>
        </w:rPr>
        <w:t>Hochtemperaturausführung</w:t>
      </w:r>
      <w:r w:rsidR="000B3D44">
        <w:rPr>
          <w:rFonts w:asciiTheme="majorHAnsi" w:eastAsiaTheme="majorEastAsia" w:hAnsiTheme="majorHAnsi" w:cstheme="majorBidi"/>
          <w:b/>
          <w:szCs w:val="32"/>
        </w:rPr>
        <w:t xml:space="preserve"> des Signalgebers</w:t>
      </w:r>
      <w:r>
        <w:rPr>
          <w:rFonts w:asciiTheme="majorHAnsi" w:eastAsiaTheme="majorEastAsia" w:hAnsiTheme="majorHAnsi" w:cstheme="majorBidi"/>
          <w:b/>
          <w:szCs w:val="32"/>
        </w:rPr>
        <w:t xml:space="preserve"> – das sind die wichtigsten Neuerungen</w:t>
      </w:r>
      <w:r w:rsidR="00445B65">
        <w:rPr>
          <w:rFonts w:asciiTheme="majorHAnsi" w:eastAsiaTheme="majorEastAsia" w:hAnsiTheme="majorHAnsi" w:cstheme="majorBidi"/>
          <w:b/>
          <w:szCs w:val="32"/>
        </w:rPr>
        <w:t>.</w:t>
      </w:r>
    </w:p>
    <w:p w14:paraId="6275D895" w14:textId="337D5022" w:rsidR="00445B65" w:rsidRDefault="008B4EC1" w:rsidP="00A949C9">
      <w:pPr>
        <w:spacing w:line="360" w:lineRule="atLeast"/>
      </w:pPr>
      <w:r>
        <w:t>Wie alle Hochvakuum-Eckventile der XL-Serie von SMC sind auch die neuen Modelle mit einem Aluminiumgehäuse ausgestattet</w:t>
      </w:r>
      <w:r w:rsidR="00874981">
        <w:t xml:space="preserve">. </w:t>
      </w:r>
      <w:r w:rsidR="00C10077">
        <w:t xml:space="preserve">Dadurch </w:t>
      </w:r>
      <w:r>
        <w:t xml:space="preserve">profitieren </w:t>
      </w:r>
      <w:r w:rsidR="00C10077">
        <w:t xml:space="preserve">Anwender </w:t>
      </w:r>
      <w:r w:rsidR="00874981">
        <w:t xml:space="preserve">gleich </w:t>
      </w:r>
      <w:r>
        <w:t xml:space="preserve">mehrfach: </w:t>
      </w:r>
      <w:r w:rsidR="00CF767D">
        <w:t>D</w:t>
      </w:r>
      <w:r>
        <w:t xml:space="preserve">as niedrige Gewicht, die </w:t>
      </w:r>
      <w:r w:rsidR="0033697E">
        <w:t xml:space="preserve">hohe Beständigkeit und </w:t>
      </w:r>
      <w:r>
        <w:t xml:space="preserve">die </w:t>
      </w:r>
      <w:r w:rsidR="00443DC2">
        <w:t xml:space="preserve">Resistenz gegenüber </w:t>
      </w:r>
      <w:r w:rsidR="0033697E">
        <w:t xml:space="preserve">aggressiven Medien wie </w:t>
      </w:r>
      <w:r w:rsidR="00445B65">
        <w:t xml:space="preserve">etwa </w:t>
      </w:r>
      <w:r w:rsidR="0033697E">
        <w:t>Fluorgas</w:t>
      </w:r>
      <w:r>
        <w:t xml:space="preserve"> sind wichtige Vorteile</w:t>
      </w:r>
      <w:r w:rsidR="00443DC2">
        <w:t xml:space="preserve">. </w:t>
      </w:r>
      <w:r>
        <w:t>Dazu ergibt sich d</w:t>
      </w:r>
      <w:r w:rsidR="00443DC2">
        <w:t xml:space="preserve">ank der hervorragenden thermischen Leitfähigkeit </w:t>
      </w:r>
      <w:r w:rsidR="00C10077">
        <w:t xml:space="preserve">des </w:t>
      </w:r>
      <w:r w:rsidR="00443DC2">
        <w:t>Aluminium</w:t>
      </w:r>
      <w:r w:rsidR="00C10077">
        <w:t>s</w:t>
      </w:r>
      <w:r w:rsidR="00443DC2">
        <w:t xml:space="preserve"> </w:t>
      </w:r>
      <w:r w:rsidR="00C10077">
        <w:t xml:space="preserve">eine </w:t>
      </w:r>
      <w:r w:rsidR="00443DC2">
        <w:t xml:space="preserve">weitgehend </w:t>
      </w:r>
      <w:r w:rsidR="00445B65">
        <w:t>homogen</w:t>
      </w:r>
      <w:r w:rsidR="00C10077">
        <w:t>e Temperaturverteilung im Ventilkörper</w:t>
      </w:r>
      <w:r w:rsidR="00443DC2">
        <w:t>.</w:t>
      </w:r>
      <w:r w:rsidR="00874981">
        <w:t xml:space="preserve"> </w:t>
      </w:r>
      <w:r w:rsidR="009638E6">
        <w:t xml:space="preserve">Dadurch werden Ablagerungen von Prozessgasen im Ventilinneren </w:t>
      </w:r>
      <w:r w:rsidR="005451B9" w:rsidRPr="005451B9">
        <w:t>zum Großteil</w:t>
      </w:r>
      <w:r w:rsidR="005451B9">
        <w:t xml:space="preserve"> </w:t>
      </w:r>
      <w:r w:rsidR="009638E6">
        <w:t>vermiede</w:t>
      </w:r>
      <w:r w:rsidR="006D087F">
        <w:t xml:space="preserve">n. </w:t>
      </w:r>
      <w:r w:rsidR="00C10077">
        <w:t xml:space="preserve">Werden die Eckventile </w:t>
      </w:r>
      <w:r w:rsidR="00443DC2">
        <w:t xml:space="preserve">unter </w:t>
      </w:r>
      <w:r w:rsidR="00AD047F">
        <w:t xml:space="preserve">reinen </w:t>
      </w:r>
      <w:r w:rsidR="009638E6">
        <w:t>Produktionsbedingungen</w:t>
      </w:r>
      <w:r w:rsidR="00C10077">
        <w:t xml:space="preserve"> eingesetzt</w:t>
      </w:r>
      <w:r w:rsidR="0033697E">
        <w:t xml:space="preserve">, </w:t>
      </w:r>
      <w:r w:rsidR="00C10077">
        <w:t xml:space="preserve">bietet Aluminium einen weiteren Vorteil gegenüber Stahl: </w:t>
      </w:r>
      <w:r w:rsidR="00AD047F">
        <w:t>Das Ventilgehäuse enthält keine Schwermetalle wie Nickel oder Chrom, daher entsteht nur eine minimale Kontamination der berührenden Medien</w:t>
      </w:r>
      <w:r w:rsidR="0033697E">
        <w:t>.</w:t>
      </w:r>
      <w:r w:rsidR="00445B65">
        <w:t xml:space="preserve"> </w:t>
      </w:r>
      <w:r>
        <w:t xml:space="preserve">Da </w:t>
      </w:r>
      <w:r w:rsidR="00445B65">
        <w:t xml:space="preserve">Aluminium kaum </w:t>
      </w:r>
      <w:r w:rsidR="00443DC2">
        <w:t>aus</w:t>
      </w:r>
      <w:r>
        <w:t xml:space="preserve">gast, </w:t>
      </w:r>
      <w:r w:rsidR="00443DC2">
        <w:t xml:space="preserve">ist es beim Einsatz der neuen Eckventile der XL-Serie </w:t>
      </w:r>
      <w:r>
        <w:t xml:space="preserve">möglich, </w:t>
      </w:r>
      <w:r w:rsidR="00443DC2">
        <w:t xml:space="preserve">mit kleineren Vakuumpumpen zu arbeiten </w:t>
      </w:r>
      <w:r w:rsidR="009638E6">
        <w:t>oder</w:t>
      </w:r>
      <w:r w:rsidR="00443DC2">
        <w:t xml:space="preserve"> die Evakuierungszeiten zu verkürzen.</w:t>
      </w:r>
    </w:p>
    <w:p w14:paraId="2B9C862E" w14:textId="076C275A" w:rsidR="00194CA9" w:rsidRDefault="00C10077" w:rsidP="00A949C9">
      <w:pPr>
        <w:spacing w:line="360" w:lineRule="atLeast"/>
      </w:pPr>
      <w:r>
        <w:t xml:space="preserve">Aufgrund dieser speziellen Vorteile </w:t>
      </w:r>
      <w:r w:rsidR="00BB6AF3">
        <w:t xml:space="preserve">können </w:t>
      </w:r>
      <w:r>
        <w:t xml:space="preserve">die Eckventile der XL-Serie </w:t>
      </w:r>
      <w:r w:rsidR="00BB6AF3">
        <w:t xml:space="preserve">nach Auffassung von </w:t>
      </w:r>
      <w:r w:rsidR="007544FE">
        <w:t>Tobias Hartherz</w:t>
      </w:r>
      <w:r w:rsidR="00BB6AF3">
        <w:t xml:space="preserve">, Product Management bei SMC Deutschland </w:t>
      </w:r>
      <w:r w:rsidR="00194CA9">
        <w:t xml:space="preserve">vor allem </w:t>
      </w:r>
      <w:r w:rsidR="00BB6AF3">
        <w:t xml:space="preserve">in den </w:t>
      </w:r>
      <w:r w:rsidR="00194CA9">
        <w:t>Vorprozesse</w:t>
      </w:r>
      <w:r w:rsidR="00BB6AF3">
        <w:t>n</w:t>
      </w:r>
      <w:r w:rsidR="00194CA9">
        <w:t xml:space="preserve"> der Halbleiterindustrie</w:t>
      </w:r>
      <w:r w:rsidR="00BB6AF3">
        <w:t xml:space="preserve"> punkten</w:t>
      </w:r>
      <w:r w:rsidR="00194CA9">
        <w:t xml:space="preserve">. Konkret </w:t>
      </w:r>
      <w:r w:rsidR="001B2F11">
        <w:t xml:space="preserve">lassen sich hier </w:t>
      </w:r>
      <w:r w:rsidR="00CA372B">
        <w:t xml:space="preserve">die </w:t>
      </w:r>
      <w:proofErr w:type="spellStart"/>
      <w:r w:rsidR="00194CA9">
        <w:t>Sputter</w:t>
      </w:r>
      <w:proofErr w:type="spellEnd"/>
      <w:r w:rsidR="00194CA9">
        <w:t xml:space="preserve">- und CVD-Anlagen sowie </w:t>
      </w:r>
      <w:r w:rsidR="00CA372B">
        <w:t xml:space="preserve">die </w:t>
      </w:r>
      <w:r w:rsidR="00194CA9">
        <w:t>Anlagen zum Ätzen und Plasmaätzen</w:t>
      </w:r>
      <w:r w:rsidR="001B2F11">
        <w:t xml:space="preserve"> hervorheben</w:t>
      </w:r>
      <w:r w:rsidR="00194CA9">
        <w:t xml:space="preserve">. Aber auch in der Nahrungsmittelindustrie und der Medizintechnik sieht </w:t>
      </w:r>
      <w:r w:rsidR="000B3D44">
        <w:t xml:space="preserve">er </w:t>
      </w:r>
      <w:r w:rsidR="00194CA9">
        <w:t xml:space="preserve">viele </w:t>
      </w:r>
      <w:r w:rsidR="009638E6">
        <w:t>Anwendungsmöglichkeiten</w:t>
      </w:r>
      <w:r w:rsidR="00BB6AF3">
        <w:t>:</w:t>
      </w:r>
      <w:r w:rsidR="00194CA9">
        <w:t xml:space="preserve"> </w:t>
      </w:r>
      <w:r w:rsidR="00BB6AF3">
        <w:t xml:space="preserve">„In </w:t>
      </w:r>
      <w:r w:rsidR="00194CA9">
        <w:t xml:space="preserve">Vakuum-Trockenschränken, Vakuum-Gefriertrocknungsanlagen, Sauerstoffreduzierungsanlagen oder Vakuum-Filtersystemen </w:t>
      </w:r>
      <w:r w:rsidR="00CA372B">
        <w:t>können die Eckventile der Serie XL ihre Stärken voll ausspielen.</w:t>
      </w:r>
      <w:r w:rsidR="00BB6AF3">
        <w:t>“</w:t>
      </w:r>
    </w:p>
    <w:p w14:paraId="760EBEC9" w14:textId="6B6ABF22" w:rsidR="003A2A6B" w:rsidRDefault="00BB6AF3" w:rsidP="00A949C9">
      <w:pPr>
        <w:spacing w:line="360" w:lineRule="atLeast"/>
      </w:pPr>
      <w:r w:rsidRPr="00BB6AF3">
        <w:rPr>
          <w:b/>
        </w:rPr>
        <w:t>Zwei Dichtungsoptionen</w:t>
      </w:r>
      <w:r w:rsidR="001B2F11">
        <w:rPr>
          <w:b/>
        </w:rPr>
        <w:t xml:space="preserve"> verfügbar</w:t>
      </w:r>
      <w:r w:rsidRPr="00BB6AF3">
        <w:rPr>
          <w:b/>
        </w:rPr>
        <w:br/>
      </w:r>
      <w:r>
        <w:t>Durch d</w:t>
      </w:r>
      <w:r w:rsidR="003A2A6B">
        <w:t xml:space="preserve">ie große Auswahl an </w:t>
      </w:r>
      <w:r w:rsidR="003A2A6B" w:rsidRPr="009979E8">
        <w:t xml:space="preserve">Flanschgrößen in </w:t>
      </w:r>
      <w:r w:rsidR="00462701" w:rsidRPr="009979E8">
        <w:t xml:space="preserve">den Nennweiten von </w:t>
      </w:r>
      <w:r w:rsidR="003A2A6B" w:rsidRPr="009979E8">
        <w:t xml:space="preserve">16 bis 80 mm lassen sich die Eckventile der Serie XL </w:t>
      </w:r>
      <w:r w:rsidR="00AD047F" w:rsidRPr="009979E8">
        <w:t>flexibel integrieren</w:t>
      </w:r>
      <w:r w:rsidR="003A2A6B" w:rsidRPr="009979E8">
        <w:t>. Als Dichtungs</w:t>
      </w:r>
      <w:r w:rsidR="00012906" w:rsidRPr="009979E8">
        <w:t>variante</w:t>
      </w:r>
      <w:r w:rsidR="003A2A6B" w:rsidRPr="009979E8">
        <w:t xml:space="preserve"> </w:t>
      </w:r>
      <w:r w:rsidRPr="009979E8">
        <w:t xml:space="preserve">können Anwender </w:t>
      </w:r>
      <w:r w:rsidR="00012906" w:rsidRPr="009979E8">
        <w:t>zwischen</w:t>
      </w:r>
      <w:r w:rsidR="003A2A6B" w:rsidRPr="009979E8">
        <w:t xml:space="preserve"> zwei Ausführungen</w:t>
      </w:r>
      <w:r w:rsidR="00012906" w:rsidRPr="009979E8">
        <w:t xml:space="preserve"> wählen</w:t>
      </w:r>
      <w:r w:rsidR="003A2A6B" w:rsidRPr="009979E8">
        <w:t xml:space="preserve">: </w:t>
      </w:r>
      <w:r w:rsidR="00012906" w:rsidRPr="009979E8">
        <w:t xml:space="preserve">Neben der </w:t>
      </w:r>
      <w:r w:rsidR="003A2A6B" w:rsidRPr="009979E8">
        <w:t xml:space="preserve">Faltenbalgdichtung </w:t>
      </w:r>
      <w:r w:rsidR="00012906" w:rsidRPr="009979E8">
        <w:t xml:space="preserve">steht auch eine </w:t>
      </w:r>
      <w:r w:rsidR="00462701" w:rsidRPr="009979E8">
        <w:t>Variante</w:t>
      </w:r>
      <w:r w:rsidR="003A2A6B" w:rsidRPr="009979E8">
        <w:t xml:space="preserve"> mit O</w:t>
      </w:r>
      <w:r w:rsidR="003A2A6B">
        <w:t>-Ring</w:t>
      </w:r>
      <w:r w:rsidR="00525BDC">
        <w:t>dichtung</w:t>
      </w:r>
      <w:r w:rsidR="00012906">
        <w:t xml:space="preserve"> </w:t>
      </w:r>
      <w:r w:rsidR="00525BDC">
        <w:t>für kürzere Taktzeiten zur Verfügung</w:t>
      </w:r>
      <w:r w:rsidR="003A2A6B">
        <w:t xml:space="preserve">. </w:t>
      </w:r>
    </w:p>
    <w:p w14:paraId="4057A2EB" w14:textId="42CAF0DE" w:rsidR="003A2A6B" w:rsidRDefault="00016D5E" w:rsidP="00A949C9">
      <w:pPr>
        <w:spacing w:line="360" w:lineRule="atLeast"/>
      </w:pPr>
      <w:r>
        <w:lastRenderedPageBreak/>
        <w:t>Wer sich für</w:t>
      </w:r>
      <w:r w:rsidR="00012906">
        <w:t xml:space="preserve"> die Eckventile mit</w:t>
      </w:r>
      <w:r w:rsidR="003A2A6B">
        <w:t xml:space="preserve"> Faltenbalgdichtung </w:t>
      </w:r>
      <w:r>
        <w:t xml:space="preserve">entscheidet, kann </w:t>
      </w:r>
      <w:r w:rsidR="00BB6AF3">
        <w:t xml:space="preserve">einen notwendigen Austausch spielend leicht erledigen: Ein spezielles </w:t>
      </w:r>
      <w:r w:rsidR="003A2A6B">
        <w:t>Austausch-Set</w:t>
      </w:r>
      <w:r w:rsidR="00BB6AF3">
        <w:t xml:space="preserve"> enthält lediglich die Faltenbalg-Baugruppe. </w:t>
      </w:r>
      <w:r>
        <w:t xml:space="preserve">Der </w:t>
      </w:r>
      <w:r w:rsidR="003A2A6B">
        <w:t xml:space="preserve">Pneumatikantrieb </w:t>
      </w:r>
      <w:r w:rsidR="00525BDC">
        <w:t xml:space="preserve">muss </w:t>
      </w:r>
      <w:r w:rsidR="001B2F11">
        <w:t xml:space="preserve">daher </w:t>
      </w:r>
      <w:r>
        <w:t xml:space="preserve">nicht </w:t>
      </w:r>
      <w:r w:rsidR="00525BDC">
        <w:t xml:space="preserve">mehr unbedingt mit ausgetauscht </w:t>
      </w:r>
      <w:r>
        <w:t>werd</w:t>
      </w:r>
      <w:r w:rsidR="003A2A6B">
        <w:t>en.</w:t>
      </w:r>
      <w:r w:rsidR="00B425FC">
        <w:t xml:space="preserve"> </w:t>
      </w:r>
      <w:r w:rsidR="002F630A">
        <w:t xml:space="preserve">Tests </w:t>
      </w:r>
      <w:r w:rsidR="00BB6AF3">
        <w:t xml:space="preserve">bei SMC </w:t>
      </w:r>
      <w:r w:rsidR="002F630A">
        <w:t>haben gezeigt, dass die neu konzipierte</w:t>
      </w:r>
      <w:r w:rsidR="00B425FC">
        <w:t xml:space="preserve"> Bauform </w:t>
      </w:r>
      <w:r w:rsidR="002F630A">
        <w:t>eine</w:t>
      </w:r>
      <w:r w:rsidR="00BB6AF3">
        <w:t xml:space="preserve"> </w:t>
      </w:r>
      <w:r w:rsidR="00012906">
        <w:t xml:space="preserve">Lebensdauer </w:t>
      </w:r>
      <w:r w:rsidR="00447DE5">
        <w:t xml:space="preserve">von bis </w:t>
      </w:r>
      <w:r w:rsidR="00BB6AF3">
        <w:t xml:space="preserve">zu </w:t>
      </w:r>
      <w:r w:rsidR="00B425FC">
        <w:t>2 Millionen Zyklen</w:t>
      </w:r>
      <w:r w:rsidR="00447DE5">
        <w:t xml:space="preserve"> </w:t>
      </w:r>
      <w:r w:rsidR="00874981" w:rsidRPr="00874981">
        <w:t>erreicht</w:t>
      </w:r>
      <w:r w:rsidR="00B425FC">
        <w:t xml:space="preserve">, </w:t>
      </w:r>
      <w:r w:rsidR="00012906">
        <w:t>wenn die empfohlene</w:t>
      </w:r>
      <w:r w:rsidR="00B425FC">
        <w:t xml:space="preserve"> Evakuierungsrichtung</w:t>
      </w:r>
      <w:r w:rsidR="00012906">
        <w:t xml:space="preserve"> eingehalten wird</w:t>
      </w:r>
      <w:r w:rsidR="00B425FC">
        <w:t xml:space="preserve">. Getestet wurde ein Eckventil mit 80 mm Flanschgröße. </w:t>
      </w:r>
      <w:r w:rsidR="003A2A6B">
        <w:t xml:space="preserve"> </w:t>
      </w:r>
    </w:p>
    <w:p w14:paraId="1742C5E7" w14:textId="778CCB36" w:rsidR="00F37745" w:rsidRDefault="00035B75" w:rsidP="00EA49CF">
      <w:pPr>
        <w:spacing w:line="360" w:lineRule="atLeast"/>
      </w:pPr>
      <w:r>
        <w:rPr>
          <w:b/>
        </w:rPr>
        <w:t>Mit Heizelement bis 150 °C einsetzbar</w:t>
      </w:r>
      <w:r w:rsidR="00EA49CF">
        <w:br/>
      </w:r>
      <w:r w:rsidR="00BB6AF3">
        <w:t>Optional können d</w:t>
      </w:r>
      <w:r w:rsidR="00B425FC">
        <w:t xml:space="preserve">ie Modelle der Serie XL mit einem Heizelement </w:t>
      </w:r>
      <w:r w:rsidR="00AD0380">
        <w:t xml:space="preserve">und </w:t>
      </w:r>
      <w:r w:rsidR="00B425FC">
        <w:t xml:space="preserve">einem hitzebeständigen Signalgeber </w:t>
      </w:r>
      <w:r w:rsidR="00447DE5">
        <w:t>bestellt werden</w:t>
      </w:r>
      <w:r w:rsidR="00874981">
        <w:t xml:space="preserve">, </w:t>
      </w:r>
      <w:r w:rsidR="00BB6AF3">
        <w:t xml:space="preserve">der </w:t>
      </w:r>
      <w:r w:rsidR="001B2F11">
        <w:t xml:space="preserve">eine </w:t>
      </w:r>
      <w:r w:rsidR="00CF767D">
        <w:t>zwei</w:t>
      </w:r>
      <w:r w:rsidR="001B2F11">
        <w:t>farbige</w:t>
      </w:r>
      <w:r w:rsidR="00B425FC">
        <w:t xml:space="preserve"> Anzeige</w:t>
      </w:r>
      <w:r w:rsidR="001B2F11">
        <w:t xml:space="preserve"> besitzt</w:t>
      </w:r>
      <w:r w:rsidR="00B425FC">
        <w:t xml:space="preserve">. </w:t>
      </w:r>
      <w:r w:rsidR="001B2F11">
        <w:t xml:space="preserve">In dieser Ausführung sind die Eckventile </w:t>
      </w:r>
      <w:r>
        <w:t>für Einsatztemperaturen bis 150 °C</w:t>
      </w:r>
      <w:r w:rsidR="001B2F11">
        <w:t xml:space="preserve"> geeignet.</w:t>
      </w:r>
    </w:p>
    <w:bookmarkEnd w:id="1"/>
    <w:p w14:paraId="4B0730B4" w14:textId="77777777" w:rsidR="00A753E3" w:rsidRPr="00A753E3" w:rsidRDefault="00A753E3" w:rsidP="00782998">
      <w:pPr>
        <w:spacing w:before="360" w:after="120" w:line="360" w:lineRule="atLeast"/>
      </w:pPr>
    </w:p>
    <w:p w14:paraId="09F0CF80" w14:textId="7E3B07B7" w:rsidR="00565FE4" w:rsidRDefault="009956CB" w:rsidP="00782998">
      <w:pPr>
        <w:spacing w:before="360" w:after="120" w:line="360" w:lineRule="atLeast"/>
        <w:rPr>
          <w:b/>
        </w:rPr>
      </w:pPr>
      <w:bookmarkStart w:id="2" w:name="_Hlk22133600"/>
      <w:r>
        <w:rPr>
          <w:b/>
        </w:rPr>
        <w:t>T</w:t>
      </w:r>
      <w:r w:rsidR="00044A57">
        <w:rPr>
          <w:b/>
        </w:rPr>
        <w:t>echnische Details</w:t>
      </w:r>
      <w:r w:rsidR="00EE43C9">
        <w:rPr>
          <w:b/>
        </w:rPr>
        <w:t xml:space="preserve"> im Überblick</w:t>
      </w:r>
      <w:r w:rsidR="00044A57">
        <w:rPr>
          <w:b/>
        </w:rPr>
        <w:br/>
      </w:r>
    </w:p>
    <w:tbl>
      <w:tblPr>
        <w:tblStyle w:val="Tabellenraster"/>
        <w:tblW w:w="9450" w:type="dxa"/>
        <w:tblInd w:w="108" w:type="dxa"/>
        <w:tblBorders>
          <w:left w:val="none" w:sz="0" w:space="0" w:color="auto"/>
        </w:tblBorders>
        <w:tblLayout w:type="fixed"/>
        <w:tblLook w:val="04A0" w:firstRow="1" w:lastRow="0" w:firstColumn="1" w:lastColumn="0" w:noHBand="0" w:noVBand="1"/>
      </w:tblPr>
      <w:tblGrid>
        <w:gridCol w:w="1550"/>
        <w:gridCol w:w="1316"/>
        <w:gridCol w:w="1317"/>
        <w:gridCol w:w="1317"/>
        <w:gridCol w:w="1316"/>
        <w:gridCol w:w="1317"/>
        <w:gridCol w:w="1081"/>
        <w:gridCol w:w="236"/>
      </w:tblGrid>
      <w:tr w:rsidR="00874981" w:rsidRPr="00B32BF5" w14:paraId="27A5C70D" w14:textId="77777777" w:rsidTr="00874981">
        <w:trPr>
          <w:trHeight w:val="669"/>
        </w:trPr>
        <w:tc>
          <w:tcPr>
            <w:tcW w:w="1550" w:type="dxa"/>
            <w:tcBorders>
              <w:top w:val="nil"/>
              <w:bottom w:val="single" w:sz="4" w:space="0" w:color="auto"/>
              <w:right w:val="nil"/>
            </w:tcBorders>
          </w:tcPr>
          <w:p w14:paraId="56CB85F6" w14:textId="229942A8" w:rsidR="00CA48CA" w:rsidRPr="00B32BF5" w:rsidRDefault="00CA48CA" w:rsidP="00044A57">
            <w:pPr>
              <w:spacing w:line="360" w:lineRule="auto"/>
              <w:rPr>
                <w:b/>
                <w:szCs w:val="22"/>
              </w:rPr>
            </w:pPr>
          </w:p>
        </w:tc>
        <w:tc>
          <w:tcPr>
            <w:tcW w:w="1316" w:type="dxa"/>
            <w:tcBorders>
              <w:top w:val="nil"/>
              <w:left w:val="nil"/>
              <w:bottom w:val="single" w:sz="4" w:space="0" w:color="auto"/>
              <w:right w:val="nil"/>
            </w:tcBorders>
          </w:tcPr>
          <w:p w14:paraId="354A8FE2" w14:textId="0286FB66" w:rsidR="00CA48CA" w:rsidRPr="00B32BF5" w:rsidRDefault="00CA48CA" w:rsidP="00044A57">
            <w:pPr>
              <w:spacing w:line="360" w:lineRule="auto"/>
              <w:rPr>
                <w:b/>
                <w:szCs w:val="22"/>
              </w:rPr>
            </w:pPr>
            <w:r>
              <w:rPr>
                <w:b/>
                <w:szCs w:val="22"/>
              </w:rPr>
              <w:t>XLA-</w:t>
            </w:r>
            <w:r w:rsidRPr="00CA48CA">
              <w:rPr>
                <w:b/>
                <w:sz w:val="16"/>
                <w:szCs w:val="22"/>
              </w:rPr>
              <w:t>2</w:t>
            </w:r>
          </w:p>
        </w:tc>
        <w:tc>
          <w:tcPr>
            <w:tcW w:w="1317" w:type="dxa"/>
            <w:tcBorders>
              <w:top w:val="nil"/>
              <w:left w:val="nil"/>
              <w:bottom w:val="single" w:sz="4" w:space="0" w:color="auto"/>
              <w:right w:val="nil"/>
            </w:tcBorders>
          </w:tcPr>
          <w:p w14:paraId="087EA061" w14:textId="0220A78D" w:rsidR="00CA48CA" w:rsidRPr="00B32BF5" w:rsidRDefault="00CA48CA" w:rsidP="00CA48CA">
            <w:pPr>
              <w:spacing w:line="360" w:lineRule="auto"/>
              <w:rPr>
                <w:b/>
                <w:szCs w:val="22"/>
              </w:rPr>
            </w:pPr>
            <w:r>
              <w:rPr>
                <w:b/>
                <w:szCs w:val="22"/>
              </w:rPr>
              <w:t>XLAV-</w:t>
            </w:r>
            <w:r w:rsidRPr="00CA48CA">
              <w:rPr>
                <w:b/>
                <w:sz w:val="16"/>
                <w:szCs w:val="22"/>
              </w:rPr>
              <w:t>2</w:t>
            </w:r>
          </w:p>
        </w:tc>
        <w:tc>
          <w:tcPr>
            <w:tcW w:w="1317" w:type="dxa"/>
            <w:tcBorders>
              <w:top w:val="nil"/>
              <w:left w:val="nil"/>
              <w:bottom w:val="single" w:sz="4" w:space="0" w:color="auto"/>
              <w:right w:val="nil"/>
            </w:tcBorders>
          </w:tcPr>
          <w:p w14:paraId="662A67F4" w14:textId="4E15A263" w:rsidR="00CA48CA" w:rsidRPr="00B32BF5" w:rsidRDefault="00CA48CA" w:rsidP="00044A57">
            <w:pPr>
              <w:spacing w:line="360" w:lineRule="auto"/>
              <w:rPr>
                <w:b/>
                <w:szCs w:val="22"/>
              </w:rPr>
            </w:pPr>
            <w:r>
              <w:rPr>
                <w:b/>
                <w:szCs w:val="22"/>
              </w:rPr>
              <w:t>XLC-</w:t>
            </w:r>
            <w:r w:rsidRPr="00CA48CA">
              <w:rPr>
                <w:b/>
                <w:sz w:val="16"/>
                <w:szCs w:val="22"/>
              </w:rPr>
              <w:t>2</w:t>
            </w:r>
          </w:p>
        </w:tc>
        <w:tc>
          <w:tcPr>
            <w:tcW w:w="1316" w:type="dxa"/>
            <w:tcBorders>
              <w:top w:val="nil"/>
              <w:left w:val="nil"/>
              <w:bottom w:val="single" w:sz="4" w:space="0" w:color="auto"/>
              <w:right w:val="nil"/>
            </w:tcBorders>
          </w:tcPr>
          <w:p w14:paraId="03E2ED03" w14:textId="33F8CA76" w:rsidR="00CA48CA" w:rsidRPr="00B32BF5" w:rsidRDefault="00CA48CA" w:rsidP="00044A57">
            <w:pPr>
              <w:spacing w:line="360" w:lineRule="auto"/>
              <w:rPr>
                <w:b/>
                <w:szCs w:val="22"/>
              </w:rPr>
            </w:pPr>
            <w:r>
              <w:rPr>
                <w:b/>
                <w:szCs w:val="22"/>
              </w:rPr>
              <w:t>XLF-</w:t>
            </w:r>
            <w:r w:rsidRPr="00CA48CA">
              <w:rPr>
                <w:b/>
                <w:sz w:val="16"/>
                <w:szCs w:val="22"/>
              </w:rPr>
              <w:t>2</w:t>
            </w:r>
          </w:p>
        </w:tc>
        <w:tc>
          <w:tcPr>
            <w:tcW w:w="1317" w:type="dxa"/>
            <w:tcBorders>
              <w:top w:val="nil"/>
              <w:left w:val="nil"/>
              <w:bottom w:val="single" w:sz="4" w:space="0" w:color="auto"/>
              <w:right w:val="nil"/>
            </w:tcBorders>
          </w:tcPr>
          <w:p w14:paraId="38BEFA3C" w14:textId="2B671BC7" w:rsidR="00CA48CA" w:rsidRPr="00B32BF5" w:rsidRDefault="00CA48CA" w:rsidP="00044A57">
            <w:pPr>
              <w:spacing w:line="360" w:lineRule="auto"/>
              <w:rPr>
                <w:b/>
                <w:szCs w:val="22"/>
              </w:rPr>
            </w:pPr>
            <w:r>
              <w:rPr>
                <w:b/>
                <w:szCs w:val="22"/>
              </w:rPr>
              <w:t>XLFV-</w:t>
            </w:r>
            <w:r w:rsidRPr="00CA48CA">
              <w:rPr>
                <w:b/>
                <w:sz w:val="16"/>
                <w:szCs w:val="22"/>
              </w:rPr>
              <w:t>2</w:t>
            </w:r>
          </w:p>
        </w:tc>
        <w:tc>
          <w:tcPr>
            <w:tcW w:w="1317" w:type="dxa"/>
            <w:gridSpan w:val="2"/>
            <w:tcBorders>
              <w:top w:val="nil"/>
              <w:left w:val="nil"/>
              <w:bottom w:val="single" w:sz="4" w:space="0" w:color="auto"/>
              <w:right w:val="nil"/>
            </w:tcBorders>
          </w:tcPr>
          <w:p w14:paraId="7F562A68" w14:textId="242379E0" w:rsidR="00CA48CA" w:rsidRPr="00B32BF5" w:rsidRDefault="00CA48CA" w:rsidP="00044A57">
            <w:pPr>
              <w:spacing w:line="360" w:lineRule="auto"/>
              <w:rPr>
                <w:b/>
                <w:szCs w:val="22"/>
              </w:rPr>
            </w:pPr>
            <w:r>
              <w:rPr>
                <w:b/>
                <w:szCs w:val="22"/>
              </w:rPr>
              <w:t>XLG-</w:t>
            </w:r>
            <w:r w:rsidRPr="00CA48CA">
              <w:rPr>
                <w:b/>
                <w:sz w:val="16"/>
                <w:szCs w:val="22"/>
              </w:rPr>
              <w:t>2</w:t>
            </w:r>
          </w:p>
        </w:tc>
      </w:tr>
      <w:tr w:rsidR="00874981" w:rsidRPr="00B32BF5" w14:paraId="7F6E363D" w14:textId="77777777" w:rsidTr="00874981">
        <w:trPr>
          <w:gridAfter w:val="1"/>
          <w:wAfter w:w="236" w:type="dxa"/>
          <w:trHeight w:val="711"/>
        </w:trPr>
        <w:tc>
          <w:tcPr>
            <w:tcW w:w="1550" w:type="dxa"/>
            <w:tcBorders>
              <w:bottom w:val="single" w:sz="4" w:space="0" w:color="auto"/>
              <w:right w:val="nil"/>
            </w:tcBorders>
          </w:tcPr>
          <w:p w14:paraId="1DD20D86" w14:textId="0AD7D3A5" w:rsidR="00CA48CA" w:rsidRPr="00447DE5" w:rsidRDefault="00447DE5" w:rsidP="00044A57">
            <w:pPr>
              <w:spacing w:line="360" w:lineRule="auto"/>
              <w:rPr>
                <w:szCs w:val="22"/>
              </w:rPr>
            </w:pPr>
            <w:r>
              <w:rPr>
                <w:szCs w:val="22"/>
              </w:rPr>
              <w:t>Betätigungsart</w:t>
            </w:r>
          </w:p>
        </w:tc>
        <w:tc>
          <w:tcPr>
            <w:tcW w:w="7664" w:type="dxa"/>
            <w:gridSpan w:val="6"/>
            <w:tcBorders>
              <w:left w:val="nil"/>
              <w:bottom w:val="single" w:sz="4" w:space="0" w:color="auto"/>
              <w:right w:val="nil"/>
            </w:tcBorders>
          </w:tcPr>
          <w:p w14:paraId="06C2EF97" w14:textId="35E68116" w:rsidR="00CA48CA" w:rsidRPr="00B32BF5" w:rsidRDefault="00CA48CA" w:rsidP="00CA48CA">
            <w:pPr>
              <w:spacing w:line="360" w:lineRule="auto"/>
              <w:jc w:val="center"/>
              <w:rPr>
                <w:szCs w:val="22"/>
              </w:rPr>
            </w:pPr>
            <w:r>
              <w:rPr>
                <w:szCs w:val="22"/>
              </w:rPr>
              <w:t>Pneumatisch betätigt</w:t>
            </w:r>
          </w:p>
        </w:tc>
      </w:tr>
      <w:tr w:rsidR="00874981" w:rsidRPr="00B32BF5" w14:paraId="1D83726A" w14:textId="77777777" w:rsidTr="00874981">
        <w:trPr>
          <w:trHeight w:val="835"/>
        </w:trPr>
        <w:tc>
          <w:tcPr>
            <w:tcW w:w="1550" w:type="dxa"/>
            <w:tcBorders>
              <w:top w:val="single" w:sz="4" w:space="0" w:color="auto"/>
              <w:bottom w:val="single" w:sz="4" w:space="0" w:color="auto"/>
              <w:right w:val="nil"/>
            </w:tcBorders>
          </w:tcPr>
          <w:p w14:paraId="4223BFD1" w14:textId="6277C998" w:rsidR="00CA48CA" w:rsidRPr="00B32BF5" w:rsidRDefault="00CA48CA" w:rsidP="0035108E">
            <w:pPr>
              <w:spacing w:line="240" w:lineRule="auto"/>
              <w:rPr>
                <w:szCs w:val="22"/>
              </w:rPr>
            </w:pPr>
            <w:r>
              <w:rPr>
                <w:szCs w:val="22"/>
              </w:rPr>
              <w:t>Ventiltyp</w:t>
            </w:r>
          </w:p>
        </w:tc>
        <w:tc>
          <w:tcPr>
            <w:tcW w:w="1316" w:type="dxa"/>
            <w:tcBorders>
              <w:top w:val="single" w:sz="4" w:space="0" w:color="auto"/>
              <w:left w:val="nil"/>
              <w:bottom w:val="single" w:sz="4" w:space="0" w:color="auto"/>
              <w:right w:val="nil"/>
            </w:tcBorders>
          </w:tcPr>
          <w:p w14:paraId="40A4584F" w14:textId="7B1FAD18" w:rsidR="00CA48CA" w:rsidRPr="00B32BF5" w:rsidRDefault="00CA48CA" w:rsidP="0035108E">
            <w:pPr>
              <w:spacing w:line="240" w:lineRule="auto"/>
              <w:rPr>
                <w:szCs w:val="22"/>
              </w:rPr>
            </w:pPr>
            <w:r>
              <w:rPr>
                <w:szCs w:val="22"/>
              </w:rPr>
              <w:t>Einfach</w:t>
            </w:r>
            <w:r w:rsidR="004174D5">
              <w:rPr>
                <w:szCs w:val="22"/>
              </w:rPr>
              <w:t>-</w:t>
            </w:r>
            <w:r>
              <w:rPr>
                <w:szCs w:val="22"/>
              </w:rPr>
              <w:t xml:space="preserve">wirkend </w:t>
            </w:r>
            <w:r w:rsidRPr="0035108E">
              <w:rPr>
                <w:szCs w:val="22"/>
              </w:rPr>
              <w:t>(NC)</w:t>
            </w:r>
          </w:p>
        </w:tc>
        <w:tc>
          <w:tcPr>
            <w:tcW w:w="1317" w:type="dxa"/>
            <w:tcBorders>
              <w:top w:val="single" w:sz="4" w:space="0" w:color="auto"/>
              <w:left w:val="nil"/>
              <w:bottom w:val="single" w:sz="4" w:space="0" w:color="auto"/>
              <w:right w:val="nil"/>
            </w:tcBorders>
          </w:tcPr>
          <w:p w14:paraId="7BDCB400" w14:textId="119018CF" w:rsidR="00CA48CA" w:rsidRPr="00B32BF5" w:rsidRDefault="00CA48CA" w:rsidP="00D84B17">
            <w:pPr>
              <w:spacing w:line="240" w:lineRule="auto"/>
              <w:rPr>
                <w:szCs w:val="22"/>
              </w:rPr>
            </w:pPr>
            <w:r>
              <w:rPr>
                <w:szCs w:val="22"/>
              </w:rPr>
              <w:t>Einfach</w:t>
            </w:r>
            <w:r w:rsidR="004174D5">
              <w:rPr>
                <w:szCs w:val="22"/>
              </w:rPr>
              <w:t>-</w:t>
            </w:r>
            <w:r>
              <w:rPr>
                <w:szCs w:val="22"/>
              </w:rPr>
              <w:t>wirkend</w:t>
            </w:r>
            <w:r w:rsidR="004174D5">
              <w:rPr>
                <w:szCs w:val="22"/>
              </w:rPr>
              <w:t xml:space="preserve"> </w:t>
            </w:r>
            <w:r w:rsidR="00D84B17">
              <w:rPr>
                <w:szCs w:val="22"/>
              </w:rPr>
              <w:t>(</w:t>
            </w:r>
            <w:r w:rsidRPr="0035108E">
              <w:rPr>
                <w:szCs w:val="22"/>
              </w:rPr>
              <w:t>NC</w:t>
            </w:r>
            <w:r w:rsidR="00D84B17">
              <w:rPr>
                <w:szCs w:val="22"/>
              </w:rPr>
              <w:t xml:space="preserve">) </w:t>
            </w:r>
            <w:r w:rsidR="00D84B17">
              <w:rPr>
                <w:szCs w:val="22"/>
              </w:rPr>
              <w:br/>
              <w:t xml:space="preserve">mit </w:t>
            </w:r>
            <w:r w:rsidR="0035108E">
              <w:rPr>
                <w:szCs w:val="22"/>
              </w:rPr>
              <w:t>Elektro-magnet</w:t>
            </w:r>
            <w:r w:rsidR="00D84B17">
              <w:rPr>
                <w:szCs w:val="22"/>
              </w:rPr>
              <w:t>-</w:t>
            </w:r>
            <w:r w:rsidR="0035108E">
              <w:rPr>
                <w:szCs w:val="22"/>
              </w:rPr>
              <w:t>ventil</w:t>
            </w:r>
          </w:p>
        </w:tc>
        <w:tc>
          <w:tcPr>
            <w:tcW w:w="1317" w:type="dxa"/>
            <w:tcBorders>
              <w:top w:val="single" w:sz="4" w:space="0" w:color="auto"/>
              <w:left w:val="nil"/>
              <w:bottom w:val="single" w:sz="4" w:space="0" w:color="auto"/>
              <w:right w:val="nil"/>
            </w:tcBorders>
          </w:tcPr>
          <w:p w14:paraId="2D29FC80" w14:textId="787E56F0" w:rsidR="00CA48CA" w:rsidRPr="00B32BF5" w:rsidRDefault="00CA48CA" w:rsidP="0035108E">
            <w:pPr>
              <w:spacing w:line="240" w:lineRule="auto"/>
              <w:rPr>
                <w:szCs w:val="22"/>
              </w:rPr>
            </w:pPr>
            <w:r>
              <w:rPr>
                <w:szCs w:val="22"/>
              </w:rPr>
              <w:t>Doppelt</w:t>
            </w:r>
            <w:r w:rsidR="004174D5">
              <w:rPr>
                <w:szCs w:val="22"/>
              </w:rPr>
              <w:t>-</w:t>
            </w:r>
            <w:r>
              <w:rPr>
                <w:szCs w:val="22"/>
              </w:rPr>
              <w:t xml:space="preserve"> wirkend </w:t>
            </w:r>
            <w:r w:rsidRPr="00CA48CA">
              <w:rPr>
                <w:szCs w:val="22"/>
              </w:rPr>
              <w:t>(NC)</w:t>
            </w:r>
          </w:p>
        </w:tc>
        <w:tc>
          <w:tcPr>
            <w:tcW w:w="1316" w:type="dxa"/>
            <w:tcBorders>
              <w:top w:val="single" w:sz="4" w:space="0" w:color="auto"/>
              <w:left w:val="nil"/>
              <w:bottom w:val="single" w:sz="4" w:space="0" w:color="auto"/>
              <w:right w:val="nil"/>
            </w:tcBorders>
          </w:tcPr>
          <w:p w14:paraId="3EC881C2" w14:textId="7D92E066" w:rsidR="00CA48CA" w:rsidRPr="00B32BF5" w:rsidRDefault="00CA48CA" w:rsidP="0035108E">
            <w:pPr>
              <w:spacing w:line="240" w:lineRule="auto"/>
              <w:rPr>
                <w:szCs w:val="22"/>
              </w:rPr>
            </w:pPr>
            <w:r>
              <w:rPr>
                <w:szCs w:val="22"/>
              </w:rPr>
              <w:t>Einfach</w:t>
            </w:r>
            <w:r w:rsidR="00D84B17">
              <w:rPr>
                <w:szCs w:val="22"/>
              </w:rPr>
              <w:t>-</w:t>
            </w:r>
            <w:r>
              <w:rPr>
                <w:szCs w:val="22"/>
              </w:rPr>
              <w:t xml:space="preserve"> wirkend </w:t>
            </w:r>
            <w:r w:rsidRPr="0035108E">
              <w:rPr>
                <w:szCs w:val="22"/>
              </w:rPr>
              <w:t>(NC)</w:t>
            </w:r>
          </w:p>
        </w:tc>
        <w:tc>
          <w:tcPr>
            <w:tcW w:w="1317" w:type="dxa"/>
            <w:tcBorders>
              <w:top w:val="single" w:sz="4" w:space="0" w:color="auto"/>
              <w:left w:val="nil"/>
              <w:bottom w:val="single" w:sz="4" w:space="0" w:color="auto"/>
              <w:right w:val="nil"/>
            </w:tcBorders>
          </w:tcPr>
          <w:p w14:paraId="66E2B731" w14:textId="4EB81B19" w:rsidR="00CA48CA" w:rsidRPr="00B32BF5" w:rsidRDefault="00CA48CA" w:rsidP="0035108E">
            <w:pPr>
              <w:spacing w:line="240" w:lineRule="auto"/>
              <w:rPr>
                <w:szCs w:val="22"/>
              </w:rPr>
            </w:pPr>
            <w:r>
              <w:rPr>
                <w:szCs w:val="22"/>
              </w:rPr>
              <w:t>Einfach</w:t>
            </w:r>
            <w:r w:rsidR="00D84B17">
              <w:rPr>
                <w:szCs w:val="22"/>
              </w:rPr>
              <w:t>-</w:t>
            </w:r>
            <w:r>
              <w:rPr>
                <w:szCs w:val="22"/>
              </w:rPr>
              <w:t xml:space="preserve"> wirkend </w:t>
            </w:r>
            <w:r w:rsidRPr="0035108E">
              <w:rPr>
                <w:szCs w:val="22"/>
              </w:rPr>
              <w:t>(NC)</w:t>
            </w:r>
            <w:r w:rsidR="0035108E">
              <w:rPr>
                <w:szCs w:val="22"/>
              </w:rPr>
              <w:t xml:space="preserve"> </w:t>
            </w:r>
            <w:r w:rsidR="0035108E">
              <w:rPr>
                <w:szCs w:val="22"/>
              </w:rPr>
              <w:br/>
              <w:t>mit Elektro-magnet</w:t>
            </w:r>
            <w:r w:rsidR="00D84B17">
              <w:rPr>
                <w:szCs w:val="22"/>
              </w:rPr>
              <w:t>-</w:t>
            </w:r>
            <w:r w:rsidR="0035108E">
              <w:rPr>
                <w:szCs w:val="22"/>
              </w:rPr>
              <w:t>ventil</w:t>
            </w:r>
          </w:p>
        </w:tc>
        <w:tc>
          <w:tcPr>
            <w:tcW w:w="1317" w:type="dxa"/>
            <w:gridSpan w:val="2"/>
            <w:tcBorders>
              <w:top w:val="single" w:sz="4" w:space="0" w:color="auto"/>
              <w:left w:val="nil"/>
              <w:bottom w:val="single" w:sz="4" w:space="0" w:color="auto"/>
              <w:right w:val="nil"/>
            </w:tcBorders>
          </w:tcPr>
          <w:p w14:paraId="5972A07B" w14:textId="470151DF" w:rsidR="00CA48CA" w:rsidRPr="00B32BF5" w:rsidRDefault="004174D5" w:rsidP="0035108E">
            <w:pPr>
              <w:spacing w:line="240" w:lineRule="auto"/>
              <w:rPr>
                <w:szCs w:val="22"/>
              </w:rPr>
            </w:pPr>
            <w:r>
              <w:rPr>
                <w:szCs w:val="22"/>
              </w:rPr>
              <w:t>Doppelt</w:t>
            </w:r>
            <w:r w:rsidR="00D84B17">
              <w:rPr>
                <w:szCs w:val="22"/>
              </w:rPr>
              <w:t>-</w:t>
            </w:r>
            <w:r>
              <w:rPr>
                <w:szCs w:val="22"/>
              </w:rPr>
              <w:t>wirkend</w:t>
            </w:r>
            <w:r w:rsidR="0035108E">
              <w:rPr>
                <w:szCs w:val="22"/>
              </w:rPr>
              <w:t xml:space="preserve"> </w:t>
            </w:r>
            <w:r w:rsidR="0035108E" w:rsidRPr="00CA48CA">
              <w:rPr>
                <w:szCs w:val="22"/>
              </w:rPr>
              <w:t>(NC)</w:t>
            </w:r>
          </w:p>
        </w:tc>
      </w:tr>
      <w:tr w:rsidR="00874981" w:rsidRPr="00B32BF5" w14:paraId="66599ACD" w14:textId="77777777" w:rsidTr="00874981">
        <w:trPr>
          <w:trHeight w:val="481"/>
        </w:trPr>
        <w:tc>
          <w:tcPr>
            <w:tcW w:w="1550" w:type="dxa"/>
            <w:tcBorders>
              <w:top w:val="single" w:sz="4" w:space="0" w:color="auto"/>
              <w:bottom w:val="single" w:sz="4" w:space="0" w:color="auto"/>
              <w:right w:val="nil"/>
            </w:tcBorders>
          </w:tcPr>
          <w:p w14:paraId="56C91D48" w14:textId="78D6ADEB" w:rsidR="00CA48CA" w:rsidRPr="00B32BF5" w:rsidRDefault="00CA48CA" w:rsidP="00044A57">
            <w:pPr>
              <w:spacing w:line="360" w:lineRule="auto"/>
              <w:rPr>
                <w:szCs w:val="22"/>
              </w:rPr>
            </w:pPr>
            <w:r>
              <w:rPr>
                <w:szCs w:val="22"/>
              </w:rPr>
              <w:t>Schaftdichtung</w:t>
            </w:r>
          </w:p>
        </w:tc>
        <w:tc>
          <w:tcPr>
            <w:tcW w:w="1316" w:type="dxa"/>
            <w:tcBorders>
              <w:top w:val="single" w:sz="4" w:space="0" w:color="auto"/>
              <w:left w:val="nil"/>
              <w:bottom w:val="single" w:sz="4" w:space="0" w:color="auto"/>
              <w:right w:val="nil"/>
            </w:tcBorders>
          </w:tcPr>
          <w:p w14:paraId="578E0C92" w14:textId="1A4EBA8A" w:rsidR="00CA48CA" w:rsidRPr="00B32BF5" w:rsidRDefault="0035108E" w:rsidP="006F7BE4">
            <w:pPr>
              <w:spacing w:line="276" w:lineRule="auto"/>
              <w:rPr>
                <w:szCs w:val="22"/>
              </w:rPr>
            </w:pPr>
            <w:r>
              <w:rPr>
                <w:szCs w:val="22"/>
              </w:rPr>
              <w:t>Faltenbalg</w:t>
            </w:r>
          </w:p>
        </w:tc>
        <w:tc>
          <w:tcPr>
            <w:tcW w:w="1317" w:type="dxa"/>
            <w:tcBorders>
              <w:top w:val="single" w:sz="4" w:space="0" w:color="auto"/>
              <w:left w:val="nil"/>
              <w:bottom w:val="single" w:sz="4" w:space="0" w:color="auto"/>
              <w:right w:val="nil"/>
            </w:tcBorders>
          </w:tcPr>
          <w:p w14:paraId="7F852530" w14:textId="687F4B24" w:rsidR="00CA48CA" w:rsidRPr="00B32BF5" w:rsidRDefault="0035108E" w:rsidP="006F7BE4">
            <w:pPr>
              <w:spacing w:line="276" w:lineRule="auto"/>
              <w:rPr>
                <w:szCs w:val="22"/>
              </w:rPr>
            </w:pPr>
            <w:r>
              <w:rPr>
                <w:szCs w:val="22"/>
              </w:rPr>
              <w:t>Faltenbalg</w:t>
            </w:r>
          </w:p>
        </w:tc>
        <w:tc>
          <w:tcPr>
            <w:tcW w:w="1317" w:type="dxa"/>
            <w:tcBorders>
              <w:top w:val="single" w:sz="4" w:space="0" w:color="auto"/>
              <w:left w:val="nil"/>
              <w:bottom w:val="single" w:sz="4" w:space="0" w:color="auto"/>
              <w:right w:val="nil"/>
            </w:tcBorders>
          </w:tcPr>
          <w:p w14:paraId="4287AB4C" w14:textId="76728B1A" w:rsidR="00CA48CA" w:rsidRPr="00B32BF5" w:rsidRDefault="0035108E" w:rsidP="006F7BE4">
            <w:pPr>
              <w:spacing w:line="276" w:lineRule="auto"/>
              <w:rPr>
                <w:szCs w:val="22"/>
              </w:rPr>
            </w:pPr>
            <w:r>
              <w:rPr>
                <w:szCs w:val="22"/>
              </w:rPr>
              <w:t>Faltenbalg</w:t>
            </w:r>
          </w:p>
        </w:tc>
        <w:tc>
          <w:tcPr>
            <w:tcW w:w="1316" w:type="dxa"/>
            <w:tcBorders>
              <w:top w:val="single" w:sz="4" w:space="0" w:color="auto"/>
              <w:left w:val="nil"/>
              <w:bottom w:val="single" w:sz="4" w:space="0" w:color="auto"/>
              <w:right w:val="nil"/>
            </w:tcBorders>
          </w:tcPr>
          <w:p w14:paraId="69C36703" w14:textId="234F5B49" w:rsidR="00CA48CA" w:rsidRPr="00B32BF5" w:rsidRDefault="0035108E" w:rsidP="006F7BE4">
            <w:pPr>
              <w:spacing w:line="276" w:lineRule="auto"/>
              <w:rPr>
                <w:szCs w:val="22"/>
              </w:rPr>
            </w:pPr>
            <w:r>
              <w:rPr>
                <w:szCs w:val="22"/>
              </w:rPr>
              <w:t>O-Ring</w:t>
            </w:r>
          </w:p>
        </w:tc>
        <w:tc>
          <w:tcPr>
            <w:tcW w:w="1317" w:type="dxa"/>
            <w:tcBorders>
              <w:top w:val="single" w:sz="4" w:space="0" w:color="auto"/>
              <w:left w:val="nil"/>
              <w:bottom w:val="single" w:sz="4" w:space="0" w:color="auto"/>
              <w:right w:val="nil"/>
            </w:tcBorders>
          </w:tcPr>
          <w:p w14:paraId="2630BAF9" w14:textId="0A778D48" w:rsidR="00CA48CA" w:rsidRPr="00B32BF5" w:rsidRDefault="0035108E" w:rsidP="006F7BE4">
            <w:pPr>
              <w:spacing w:line="276" w:lineRule="auto"/>
              <w:rPr>
                <w:szCs w:val="22"/>
              </w:rPr>
            </w:pPr>
            <w:r>
              <w:rPr>
                <w:szCs w:val="22"/>
              </w:rPr>
              <w:t>O-Ring</w:t>
            </w:r>
          </w:p>
        </w:tc>
        <w:tc>
          <w:tcPr>
            <w:tcW w:w="1317" w:type="dxa"/>
            <w:gridSpan w:val="2"/>
            <w:tcBorders>
              <w:top w:val="single" w:sz="4" w:space="0" w:color="auto"/>
              <w:left w:val="nil"/>
              <w:bottom w:val="single" w:sz="4" w:space="0" w:color="auto"/>
              <w:right w:val="nil"/>
            </w:tcBorders>
          </w:tcPr>
          <w:p w14:paraId="353250FC" w14:textId="2773BB81" w:rsidR="00CA48CA" w:rsidRPr="00B32BF5" w:rsidRDefault="0035108E" w:rsidP="006F7BE4">
            <w:pPr>
              <w:spacing w:line="276" w:lineRule="auto"/>
              <w:rPr>
                <w:szCs w:val="22"/>
              </w:rPr>
            </w:pPr>
            <w:r>
              <w:rPr>
                <w:szCs w:val="22"/>
              </w:rPr>
              <w:t>O-Ring</w:t>
            </w:r>
          </w:p>
        </w:tc>
      </w:tr>
      <w:tr w:rsidR="00874981" w:rsidRPr="00B32BF5" w14:paraId="7303B548" w14:textId="77777777" w:rsidTr="00874981">
        <w:trPr>
          <w:trHeight w:val="747"/>
        </w:trPr>
        <w:tc>
          <w:tcPr>
            <w:tcW w:w="1550" w:type="dxa"/>
            <w:tcBorders>
              <w:top w:val="single" w:sz="4" w:space="0" w:color="auto"/>
              <w:bottom w:val="single" w:sz="4" w:space="0" w:color="auto"/>
              <w:right w:val="nil"/>
            </w:tcBorders>
          </w:tcPr>
          <w:p w14:paraId="3943D43E" w14:textId="14DF1C96" w:rsidR="00CA48CA" w:rsidRPr="00447DE5" w:rsidRDefault="00447DE5" w:rsidP="0035108E">
            <w:pPr>
              <w:spacing w:line="240" w:lineRule="auto"/>
              <w:rPr>
                <w:szCs w:val="22"/>
              </w:rPr>
            </w:pPr>
            <w:r>
              <w:rPr>
                <w:szCs w:val="22"/>
              </w:rPr>
              <w:t>Merkmale</w:t>
            </w:r>
          </w:p>
        </w:tc>
        <w:tc>
          <w:tcPr>
            <w:tcW w:w="1316" w:type="dxa"/>
            <w:tcBorders>
              <w:top w:val="single" w:sz="4" w:space="0" w:color="auto"/>
              <w:left w:val="nil"/>
              <w:bottom w:val="single" w:sz="4" w:space="0" w:color="auto"/>
              <w:right w:val="nil"/>
            </w:tcBorders>
          </w:tcPr>
          <w:p w14:paraId="749FA1B9" w14:textId="53D84E58" w:rsidR="00CA48CA" w:rsidRPr="00447DE5" w:rsidRDefault="00447DE5" w:rsidP="0035108E">
            <w:pPr>
              <w:spacing w:line="240" w:lineRule="auto"/>
              <w:rPr>
                <w:szCs w:val="22"/>
              </w:rPr>
            </w:pPr>
            <w:r>
              <w:rPr>
                <w:szCs w:val="22"/>
              </w:rPr>
              <w:t>Reinraum</w:t>
            </w:r>
            <w:r w:rsidR="009979E8">
              <w:rPr>
                <w:szCs w:val="22"/>
              </w:rPr>
              <w:t>-</w:t>
            </w:r>
            <w:r>
              <w:rPr>
                <w:szCs w:val="22"/>
              </w:rPr>
              <w:t>verpackt</w:t>
            </w:r>
          </w:p>
        </w:tc>
        <w:tc>
          <w:tcPr>
            <w:tcW w:w="1317" w:type="dxa"/>
            <w:tcBorders>
              <w:top w:val="single" w:sz="4" w:space="0" w:color="auto"/>
              <w:left w:val="nil"/>
              <w:bottom w:val="single" w:sz="4" w:space="0" w:color="auto"/>
              <w:right w:val="nil"/>
            </w:tcBorders>
          </w:tcPr>
          <w:p w14:paraId="2B0C2C98" w14:textId="51EE0468" w:rsidR="00CA48CA" w:rsidRPr="00447DE5" w:rsidRDefault="00447DE5" w:rsidP="0035108E">
            <w:pPr>
              <w:spacing w:line="240" w:lineRule="auto"/>
              <w:rPr>
                <w:szCs w:val="22"/>
              </w:rPr>
            </w:pPr>
            <w:r>
              <w:rPr>
                <w:szCs w:val="22"/>
              </w:rPr>
              <w:t>Reinraum</w:t>
            </w:r>
            <w:r w:rsidR="009979E8">
              <w:rPr>
                <w:szCs w:val="22"/>
              </w:rPr>
              <w:t>-</w:t>
            </w:r>
            <w:r>
              <w:rPr>
                <w:szCs w:val="22"/>
              </w:rPr>
              <w:t>verpackt</w:t>
            </w:r>
          </w:p>
        </w:tc>
        <w:tc>
          <w:tcPr>
            <w:tcW w:w="1317" w:type="dxa"/>
            <w:tcBorders>
              <w:top w:val="single" w:sz="4" w:space="0" w:color="auto"/>
              <w:left w:val="nil"/>
              <w:bottom w:val="single" w:sz="4" w:space="0" w:color="auto"/>
              <w:right w:val="nil"/>
            </w:tcBorders>
          </w:tcPr>
          <w:p w14:paraId="110E5CC1" w14:textId="51349B9F" w:rsidR="00CA48CA" w:rsidRPr="00447DE5" w:rsidRDefault="009979E8" w:rsidP="0035108E">
            <w:pPr>
              <w:spacing w:line="240" w:lineRule="auto"/>
              <w:rPr>
                <w:szCs w:val="22"/>
              </w:rPr>
            </w:pPr>
            <w:r>
              <w:rPr>
                <w:szCs w:val="22"/>
              </w:rPr>
              <w:t>R</w:t>
            </w:r>
            <w:r w:rsidR="00447DE5">
              <w:rPr>
                <w:szCs w:val="22"/>
              </w:rPr>
              <w:t>einraum</w:t>
            </w:r>
            <w:r>
              <w:rPr>
                <w:szCs w:val="22"/>
              </w:rPr>
              <w:t>-</w:t>
            </w:r>
            <w:r w:rsidR="00447DE5">
              <w:rPr>
                <w:szCs w:val="22"/>
              </w:rPr>
              <w:t>verpackt</w:t>
            </w:r>
          </w:p>
        </w:tc>
        <w:tc>
          <w:tcPr>
            <w:tcW w:w="1316" w:type="dxa"/>
            <w:tcBorders>
              <w:top w:val="single" w:sz="4" w:space="0" w:color="auto"/>
              <w:left w:val="nil"/>
              <w:bottom w:val="single" w:sz="4" w:space="0" w:color="auto"/>
              <w:right w:val="nil"/>
            </w:tcBorders>
          </w:tcPr>
          <w:p w14:paraId="6F090E6F" w14:textId="6A4306CA" w:rsidR="00CA48CA" w:rsidRPr="00447DE5" w:rsidRDefault="00447DE5" w:rsidP="0035108E">
            <w:pPr>
              <w:spacing w:line="240" w:lineRule="auto"/>
              <w:rPr>
                <w:szCs w:val="22"/>
              </w:rPr>
            </w:pPr>
            <w:r>
              <w:rPr>
                <w:szCs w:val="22"/>
              </w:rPr>
              <w:t>Reinraum</w:t>
            </w:r>
            <w:r w:rsidR="009979E8">
              <w:rPr>
                <w:szCs w:val="22"/>
              </w:rPr>
              <w:t>-</w:t>
            </w:r>
            <w:r>
              <w:rPr>
                <w:szCs w:val="22"/>
              </w:rPr>
              <w:t>verpackt</w:t>
            </w:r>
          </w:p>
        </w:tc>
        <w:tc>
          <w:tcPr>
            <w:tcW w:w="1317" w:type="dxa"/>
            <w:tcBorders>
              <w:top w:val="single" w:sz="4" w:space="0" w:color="auto"/>
              <w:left w:val="nil"/>
              <w:bottom w:val="single" w:sz="4" w:space="0" w:color="auto"/>
              <w:right w:val="nil"/>
            </w:tcBorders>
          </w:tcPr>
          <w:p w14:paraId="257B76D3" w14:textId="28686008" w:rsidR="00CA48CA" w:rsidRPr="00447DE5" w:rsidRDefault="00447DE5" w:rsidP="0035108E">
            <w:pPr>
              <w:spacing w:line="240" w:lineRule="auto"/>
              <w:rPr>
                <w:szCs w:val="22"/>
              </w:rPr>
            </w:pPr>
            <w:r>
              <w:rPr>
                <w:szCs w:val="22"/>
              </w:rPr>
              <w:t>Reinraum</w:t>
            </w:r>
            <w:r w:rsidR="009979E8">
              <w:rPr>
                <w:szCs w:val="22"/>
              </w:rPr>
              <w:t>-</w:t>
            </w:r>
            <w:r>
              <w:rPr>
                <w:szCs w:val="22"/>
              </w:rPr>
              <w:t>verpackt</w:t>
            </w:r>
          </w:p>
        </w:tc>
        <w:tc>
          <w:tcPr>
            <w:tcW w:w="1317" w:type="dxa"/>
            <w:gridSpan w:val="2"/>
            <w:tcBorders>
              <w:top w:val="single" w:sz="4" w:space="0" w:color="auto"/>
              <w:left w:val="nil"/>
              <w:bottom w:val="single" w:sz="4" w:space="0" w:color="auto"/>
              <w:right w:val="nil"/>
            </w:tcBorders>
          </w:tcPr>
          <w:p w14:paraId="7A32340C" w14:textId="3D9FC788" w:rsidR="00CA48CA" w:rsidRPr="00874981" w:rsidRDefault="00CA48CA" w:rsidP="0035108E">
            <w:pPr>
              <w:spacing w:line="240" w:lineRule="auto"/>
              <w:rPr>
                <w:strike/>
                <w:szCs w:val="22"/>
              </w:rPr>
            </w:pPr>
          </w:p>
        </w:tc>
      </w:tr>
      <w:tr w:rsidR="00874981" w:rsidRPr="00B32BF5" w14:paraId="6F4F0A40" w14:textId="77777777" w:rsidTr="00874981">
        <w:trPr>
          <w:gridAfter w:val="1"/>
          <w:wAfter w:w="236" w:type="dxa"/>
          <w:trHeight w:val="449"/>
        </w:trPr>
        <w:tc>
          <w:tcPr>
            <w:tcW w:w="1550" w:type="dxa"/>
            <w:tcBorders>
              <w:top w:val="single" w:sz="4" w:space="0" w:color="auto"/>
              <w:bottom w:val="single" w:sz="4" w:space="0" w:color="auto"/>
              <w:right w:val="nil"/>
            </w:tcBorders>
          </w:tcPr>
          <w:p w14:paraId="6A379EE9" w14:textId="25B6935D" w:rsidR="0035108E" w:rsidRDefault="0035108E" w:rsidP="00CA48CA">
            <w:pPr>
              <w:spacing w:line="360" w:lineRule="auto"/>
              <w:rPr>
                <w:szCs w:val="22"/>
              </w:rPr>
            </w:pPr>
            <w:r>
              <w:rPr>
                <w:szCs w:val="22"/>
              </w:rPr>
              <w:t>Flanschgröße</w:t>
            </w:r>
            <w:r w:rsidR="00447DE5">
              <w:rPr>
                <w:szCs w:val="22"/>
              </w:rPr>
              <w:t>n</w:t>
            </w:r>
          </w:p>
        </w:tc>
        <w:tc>
          <w:tcPr>
            <w:tcW w:w="7664" w:type="dxa"/>
            <w:gridSpan w:val="6"/>
            <w:tcBorders>
              <w:top w:val="single" w:sz="4" w:space="0" w:color="auto"/>
              <w:left w:val="nil"/>
              <w:bottom w:val="single" w:sz="4" w:space="0" w:color="auto"/>
              <w:right w:val="nil"/>
            </w:tcBorders>
          </w:tcPr>
          <w:p w14:paraId="72D84EAC" w14:textId="4F95C37C" w:rsidR="0035108E" w:rsidRDefault="0035108E" w:rsidP="0035108E">
            <w:pPr>
              <w:spacing w:line="360" w:lineRule="auto"/>
              <w:jc w:val="center"/>
              <w:rPr>
                <w:szCs w:val="22"/>
              </w:rPr>
            </w:pPr>
            <w:r>
              <w:rPr>
                <w:szCs w:val="22"/>
              </w:rPr>
              <w:t>16, 25, 40, 50, 63, 80 mm</w:t>
            </w:r>
          </w:p>
        </w:tc>
      </w:tr>
      <w:bookmarkEnd w:id="2"/>
    </w:tbl>
    <w:p w14:paraId="03AE42E6" w14:textId="77777777" w:rsidR="00436AA5" w:rsidRDefault="00436AA5" w:rsidP="00782998">
      <w:pPr>
        <w:spacing w:before="360" w:after="120" w:line="360" w:lineRule="atLeast"/>
        <w:rPr>
          <w:b/>
        </w:rPr>
      </w:pPr>
    </w:p>
    <w:p w14:paraId="3015ECBA" w14:textId="433C8679" w:rsidR="00CF06D8" w:rsidRDefault="00CF06D8">
      <w:pPr>
        <w:spacing w:after="120" w:line="280" w:lineRule="atLeast"/>
      </w:pPr>
    </w:p>
    <w:p w14:paraId="1E669BB4" w14:textId="77777777" w:rsidR="0035108E" w:rsidRDefault="0035108E">
      <w:pPr>
        <w:spacing w:after="120" w:line="280" w:lineRule="atLeast"/>
      </w:pPr>
    </w:p>
    <w:p w14:paraId="61700B13" w14:textId="77777777" w:rsidR="0035108E" w:rsidRDefault="0035108E">
      <w:pPr>
        <w:spacing w:after="120" w:line="280" w:lineRule="atLeast"/>
      </w:pPr>
    </w:p>
    <w:p w14:paraId="54277A81" w14:textId="06229AA2" w:rsidR="001E03AA" w:rsidRDefault="001E03AA" w:rsidP="00E57D3A">
      <w:pPr>
        <w:spacing w:after="0" w:line="240" w:lineRule="auto"/>
        <w:rPr>
          <w:rFonts w:cs="Arial"/>
          <w:noProof/>
          <w:lang w:eastAsia="de-DE"/>
        </w:rPr>
      </w:pPr>
    </w:p>
    <w:p w14:paraId="09938607" w14:textId="4C46819A" w:rsidR="001E03AA" w:rsidRDefault="00F44753" w:rsidP="00E57D3A">
      <w:pPr>
        <w:spacing w:after="0" w:line="240" w:lineRule="auto"/>
      </w:pPr>
      <w:r>
        <w:rPr>
          <w:noProof/>
          <w:lang w:eastAsia="de-DE"/>
        </w:rPr>
        <w:drawing>
          <wp:inline distT="0" distB="0" distL="0" distR="0" wp14:anchorId="47E6CEFB" wp14:editId="4D65660B">
            <wp:extent cx="4010025" cy="26717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C_image_ch.jpg"/>
                    <pic:cNvPicPr/>
                  </pic:nvPicPr>
                  <pic:blipFill>
                    <a:blip r:embed="rId8"/>
                    <a:stretch>
                      <a:fillRect/>
                    </a:stretch>
                  </pic:blipFill>
                  <pic:spPr>
                    <a:xfrm>
                      <a:off x="0" y="0"/>
                      <a:ext cx="4013158" cy="2673816"/>
                    </a:xfrm>
                    <a:prstGeom prst="rect">
                      <a:avLst/>
                    </a:prstGeom>
                    <a:ln w="76200" cap="sq">
                      <a:noFill/>
                      <a:miter lim="800000"/>
                    </a:ln>
                  </pic:spPr>
                </pic:pic>
              </a:graphicData>
            </a:graphic>
          </wp:inline>
        </w:drawing>
      </w:r>
    </w:p>
    <w:p w14:paraId="650E261D" w14:textId="77777777" w:rsidR="00F44753" w:rsidRDefault="00F44753" w:rsidP="00CF06D8">
      <w:pPr>
        <w:spacing w:after="120" w:line="240" w:lineRule="auto"/>
        <w:rPr>
          <w:b/>
        </w:rPr>
      </w:pPr>
    </w:p>
    <w:p w14:paraId="7B8961E1" w14:textId="5FF56AC6" w:rsidR="00C866A8" w:rsidRPr="00E145F6" w:rsidRDefault="00E57D3A" w:rsidP="00CF06D8">
      <w:pPr>
        <w:spacing w:after="120" w:line="240" w:lineRule="auto"/>
      </w:pPr>
      <w:r>
        <w:rPr>
          <w:b/>
        </w:rPr>
        <w:t>Bildunterschrift</w:t>
      </w:r>
      <w:r w:rsidR="00C866A8" w:rsidRPr="00C866A8">
        <w:rPr>
          <w:b/>
        </w:rPr>
        <w:t>:</w:t>
      </w:r>
    </w:p>
    <w:p w14:paraId="600E0ADC" w14:textId="3F022D5C" w:rsidR="00782998" w:rsidRPr="00782998" w:rsidRDefault="0035108E" w:rsidP="00782998">
      <w:pPr>
        <w:spacing w:line="360" w:lineRule="atLeast"/>
        <w:rPr>
          <w:bCs/>
        </w:rPr>
      </w:pPr>
      <w:r>
        <w:rPr>
          <w:bCs/>
        </w:rPr>
        <w:t xml:space="preserve">Die Hochvakuum-Eckventile der XL-Serie: </w:t>
      </w:r>
      <w:r w:rsidR="00F84434">
        <w:rPr>
          <w:bCs/>
        </w:rPr>
        <w:t>Jetzt auch mit hitzebeständigem Signalgeber für die Hochtemperaturausführung</w:t>
      </w:r>
      <w:r w:rsidR="00CF767D">
        <w:rPr>
          <w:bCs/>
        </w:rPr>
        <w:t>,</w:t>
      </w:r>
      <w:r w:rsidR="00F84434">
        <w:rPr>
          <w:bCs/>
        </w:rPr>
        <w:t xml:space="preserve"> </w:t>
      </w:r>
      <w:r>
        <w:rPr>
          <w:bCs/>
        </w:rPr>
        <w:t>wahlweise mit Elektromagnetventil und austauschbarem Faltenbalg</w:t>
      </w:r>
      <w:r w:rsidR="00B32BF5" w:rsidRPr="00B32BF5">
        <w:rPr>
          <w:bCs/>
        </w:rPr>
        <w:t>.</w:t>
      </w:r>
    </w:p>
    <w:p w14:paraId="31219D83" w14:textId="2C6CB978" w:rsidR="00C866A8" w:rsidRPr="00C866A8" w:rsidRDefault="00C866A8" w:rsidP="00E145F6">
      <w:pPr>
        <w:spacing w:after="0" w:line="360" w:lineRule="atLeast"/>
      </w:pPr>
      <w:r w:rsidRPr="00C866A8">
        <w:t>Foto</w:t>
      </w:r>
      <w:r w:rsidR="0076111C">
        <w:t>s</w:t>
      </w:r>
      <w:r w:rsidRPr="00C866A8">
        <w:t>: SMC Deutschland GmbH</w:t>
      </w:r>
    </w:p>
    <w:p w14:paraId="71A488D9" w14:textId="77777777" w:rsidR="00E145F6" w:rsidRDefault="00E145F6" w:rsidP="00E57D3A">
      <w:pPr>
        <w:spacing w:after="0" w:line="240" w:lineRule="auto"/>
      </w:pPr>
    </w:p>
    <w:p w14:paraId="271D1D96" w14:textId="77777777" w:rsidR="00CF06D8" w:rsidRDefault="00CF06D8" w:rsidP="00E57D3A">
      <w:pPr>
        <w:spacing w:after="0" w:line="240" w:lineRule="auto"/>
      </w:pPr>
    </w:p>
    <w:p w14:paraId="6E0F7445" w14:textId="3009E41B" w:rsidR="0076111C" w:rsidRDefault="0076111C" w:rsidP="00E57D3A">
      <w:pPr>
        <w:spacing w:after="0" w:line="240" w:lineRule="auto"/>
      </w:pPr>
    </w:p>
    <w:p w14:paraId="078D1287" w14:textId="77777777" w:rsidR="00CF06D8" w:rsidRPr="0062542D" w:rsidRDefault="00CF06D8" w:rsidP="00CF06D8">
      <w:pPr>
        <w:pStyle w:val="SMCUntertitel"/>
        <w:spacing w:after="120"/>
        <w:rPr>
          <w:b/>
        </w:rPr>
      </w:pPr>
      <w:r>
        <w:rPr>
          <w:b/>
        </w:rPr>
        <w:t>Über SMC Deutschland</w:t>
      </w:r>
    </w:p>
    <w:p w14:paraId="7CB71D4C" w14:textId="77777777" w:rsidR="00B56BC2" w:rsidRDefault="00B56BC2" w:rsidP="00B56BC2">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industrie sowie im Werkzeugmaschinenbau, der Robotik und der Automation. SMC erwirtschaftete im Geschäftsjahr 2018/19 einen Umsatz von 170 Millionen Euro und beschäftigt bundesweit mehr als 740 Mitarbeiter. Darüber hinaus steht allen Kunden ein flächendeckendes, kompetentes Service- und Vertriebsnetzwerk zur Seite.</w:t>
      </w:r>
    </w:p>
    <w:p w14:paraId="5B5019CC" w14:textId="5180D90D" w:rsidR="00CF06D8" w:rsidRPr="00C866A8" w:rsidRDefault="00B56BC2" w:rsidP="008B4EC1">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2018/2019 einen Umsatz von rund 4,5 Milliarden Euro und beschäftigt global gut 19.750 Mitarbeiter.</w:t>
      </w:r>
    </w:p>
    <w:sectPr w:rsidR="00CF06D8" w:rsidRPr="00C866A8" w:rsidSect="005E0A21">
      <w:headerReference w:type="default" r:id="rId9"/>
      <w:footerReference w:type="default" r:id="rId10"/>
      <w:headerReference w:type="first" r:id="rId11"/>
      <w:footerReference w:type="first" r:id="rId12"/>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09B1" w14:textId="77777777" w:rsidR="00F6770B" w:rsidRDefault="00F6770B" w:rsidP="00890E0F">
      <w:pPr>
        <w:spacing w:after="0" w:line="240" w:lineRule="auto"/>
      </w:pPr>
      <w:r>
        <w:separator/>
      </w:r>
    </w:p>
  </w:endnote>
  <w:endnote w:type="continuationSeparator" w:id="0">
    <w:p w14:paraId="3EE4C205" w14:textId="77777777" w:rsidR="00F6770B" w:rsidRDefault="00F6770B"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kko Pro Medium">
    <w:altName w:val="Frutiger Next Pro Medium"/>
    <w:panose1 w:val="00000000000000000000"/>
    <w:charset w:val="00"/>
    <w:family w:val="swiss"/>
    <w:notTrueType/>
    <w:pitch w:val="variable"/>
    <w:sig w:usb0="00000001" w:usb1="00000020"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Myriad Pro">
    <w:altName w:val="Arial Unicode MS"/>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7743" w14:textId="77777777" w:rsidR="00EF6E0C" w:rsidRPr="00CC2B85" w:rsidRDefault="00EF6E0C"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4</w:t>
    </w:r>
    <w:r w:rsidRPr="00CC2B85">
      <w:fldChar w:fldCharType="end"/>
    </w:r>
    <w:r w:rsidRPr="00CC2B85">
      <w:t xml:space="preserve"> von </w:t>
    </w:r>
    <w:r w:rsidR="00065106">
      <w:fldChar w:fldCharType="begin"/>
    </w:r>
    <w:r w:rsidR="00065106">
      <w:instrText>NUMPAGES  \* Arabic  \* MERGEFORMAT</w:instrText>
    </w:r>
    <w:r w:rsidR="00065106">
      <w:fldChar w:fldCharType="separate"/>
    </w:r>
    <w:r>
      <w:t>4</w:t>
    </w:r>
    <w:r w:rsidR="00065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EF6E0C" w14:paraId="11E5634D" w14:textId="77777777" w:rsidTr="005C7C62">
      <w:tc>
        <w:tcPr>
          <w:tcW w:w="2268" w:type="dxa"/>
          <w:tcBorders>
            <w:top w:val="single" w:sz="4" w:space="0" w:color="2A60AA" w:themeColor="accent1"/>
          </w:tcBorders>
        </w:tcPr>
        <w:p w14:paraId="65C37488" w14:textId="77777777" w:rsidR="00EF6E0C" w:rsidRPr="00CB624B" w:rsidRDefault="00EF6E0C" w:rsidP="00CB624B">
          <w:pPr>
            <w:pStyle w:val="SMCBriefFenster"/>
            <w:rPr>
              <w:rStyle w:val="Fett"/>
            </w:rPr>
          </w:pPr>
        </w:p>
      </w:tc>
      <w:tc>
        <w:tcPr>
          <w:tcW w:w="2977" w:type="dxa"/>
          <w:tcBorders>
            <w:top w:val="single" w:sz="4" w:space="0" w:color="2A60AA" w:themeColor="accent1"/>
          </w:tcBorders>
        </w:tcPr>
        <w:p w14:paraId="165A6671" w14:textId="77777777" w:rsidR="00EF6E0C" w:rsidRDefault="00EF6E0C" w:rsidP="00CB624B">
          <w:pPr>
            <w:pStyle w:val="SMCBriefFenster"/>
          </w:pPr>
        </w:p>
      </w:tc>
      <w:tc>
        <w:tcPr>
          <w:tcW w:w="1843" w:type="dxa"/>
          <w:tcBorders>
            <w:top w:val="single" w:sz="4" w:space="0" w:color="2A60AA" w:themeColor="accent1"/>
          </w:tcBorders>
        </w:tcPr>
        <w:p w14:paraId="2518B925" w14:textId="77777777" w:rsidR="00EF6E0C" w:rsidRDefault="00EF6E0C" w:rsidP="00CB624B">
          <w:pPr>
            <w:pStyle w:val="SMCBriefFenster"/>
          </w:pPr>
        </w:p>
      </w:tc>
      <w:tc>
        <w:tcPr>
          <w:tcW w:w="2835" w:type="dxa"/>
          <w:tcBorders>
            <w:top w:val="single" w:sz="4" w:space="0" w:color="2A60AA" w:themeColor="accent1"/>
          </w:tcBorders>
        </w:tcPr>
        <w:p w14:paraId="40838DD8" w14:textId="77777777" w:rsidR="00EF6E0C" w:rsidRDefault="00EF6E0C" w:rsidP="00CB624B">
          <w:pPr>
            <w:pStyle w:val="SMCBriefFenster"/>
          </w:pPr>
        </w:p>
      </w:tc>
    </w:tr>
    <w:tr w:rsidR="00EF6E0C" w14:paraId="22539476" w14:textId="77777777" w:rsidTr="005C7C62">
      <w:tc>
        <w:tcPr>
          <w:tcW w:w="2268" w:type="dxa"/>
        </w:tcPr>
        <w:p w14:paraId="281F2D8F" w14:textId="77777777" w:rsidR="00EF6E0C" w:rsidRPr="00CB624B" w:rsidRDefault="00EF6E0C" w:rsidP="00CB624B">
          <w:pPr>
            <w:pStyle w:val="SMCBriefFenster"/>
            <w:rPr>
              <w:rStyle w:val="Fett"/>
            </w:rPr>
          </w:pPr>
          <w:r w:rsidRPr="00CB624B">
            <w:rPr>
              <w:rStyle w:val="Fett"/>
            </w:rPr>
            <w:t>SMC Deutschland GmbH</w:t>
          </w:r>
        </w:p>
        <w:p w14:paraId="4F237D59" w14:textId="77777777" w:rsidR="00EF6E0C" w:rsidRDefault="00EF6E0C" w:rsidP="00CB624B">
          <w:pPr>
            <w:pStyle w:val="SMCBriefFenster"/>
          </w:pPr>
          <w:r>
            <w:t>Boschring 13-15</w:t>
          </w:r>
        </w:p>
        <w:p w14:paraId="1F8C943A" w14:textId="77777777" w:rsidR="00EF6E0C" w:rsidRDefault="00EF6E0C" w:rsidP="00CB624B">
          <w:pPr>
            <w:pStyle w:val="SMCBriefFenster"/>
          </w:pPr>
          <w:r>
            <w:t>63329 Egelsbach</w:t>
          </w:r>
        </w:p>
      </w:tc>
      <w:tc>
        <w:tcPr>
          <w:tcW w:w="2977" w:type="dxa"/>
        </w:tcPr>
        <w:p w14:paraId="6F1F4730" w14:textId="77777777" w:rsidR="00EF6E0C" w:rsidRPr="00534D83" w:rsidRDefault="00EF6E0C" w:rsidP="009733EE">
          <w:pPr>
            <w:pStyle w:val="SMCBriefFenster"/>
            <w:rPr>
              <w:lang w:val="fr-CH"/>
            </w:rPr>
          </w:pPr>
          <w:r w:rsidRPr="00534D83">
            <w:rPr>
              <w:lang w:val="fr-CH"/>
            </w:rPr>
            <w:t>Brigitte Martinez Méndez</w:t>
          </w:r>
        </w:p>
        <w:p w14:paraId="1DFAFFA4" w14:textId="77777777" w:rsidR="00EF6E0C" w:rsidRPr="00534D83" w:rsidRDefault="00EF6E0C" w:rsidP="009733EE">
          <w:pPr>
            <w:pStyle w:val="SMCBriefFenster"/>
            <w:rPr>
              <w:lang w:val="fr-CH"/>
            </w:rPr>
          </w:pPr>
          <w:r w:rsidRPr="00534D83">
            <w:rPr>
              <w:lang w:val="fr-CH"/>
            </w:rPr>
            <w:t>Tel. +49 (0) 6103 402-278</w:t>
          </w:r>
        </w:p>
        <w:p w14:paraId="412DEC27" w14:textId="77777777" w:rsidR="00EF6E0C" w:rsidRPr="00534D83" w:rsidRDefault="00EF6E0C" w:rsidP="009733EE">
          <w:pPr>
            <w:pStyle w:val="SMCBriefFenster"/>
            <w:rPr>
              <w:lang w:val="fr-CH"/>
            </w:rPr>
          </w:pPr>
          <w:r w:rsidRPr="00534D83">
            <w:rPr>
              <w:lang w:val="fr-CH"/>
            </w:rPr>
            <w:t>martinez-mendez.brigitte@smc.de</w:t>
          </w:r>
        </w:p>
      </w:tc>
      <w:tc>
        <w:tcPr>
          <w:tcW w:w="1843" w:type="dxa"/>
        </w:tcPr>
        <w:p w14:paraId="19C96924" w14:textId="77777777" w:rsidR="00EF6E0C" w:rsidRDefault="00EF6E0C" w:rsidP="00A27E21">
          <w:pPr>
            <w:pStyle w:val="SMCBriefFenster"/>
          </w:pPr>
          <w:r>
            <w:t>www.smc.de</w:t>
          </w:r>
        </w:p>
      </w:tc>
      <w:tc>
        <w:tcPr>
          <w:tcW w:w="2835" w:type="dxa"/>
        </w:tcPr>
        <w:p w14:paraId="5ED33CCE" w14:textId="77777777" w:rsidR="00EF6E0C" w:rsidRPr="009C2840" w:rsidRDefault="00EF6E0C"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4</w:t>
          </w:r>
          <w:r w:rsidRPr="009C2840">
            <w:rPr>
              <w:sz w:val="14"/>
              <w:szCs w:val="14"/>
            </w:rPr>
            <w:fldChar w:fldCharType="end"/>
          </w:r>
        </w:p>
        <w:p w14:paraId="68D0838D" w14:textId="77777777" w:rsidR="00EF6E0C" w:rsidRDefault="00EF6E0C" w:rsidP="00CB624B">
          <w:pPr>
            <w:pStyle w:val="SMCBriefFenster"/>
          </w:pPr>
        </w:p>
      </w:tc>
    </w:tr>
  </w:tbl>
  <w:p w14:paraId="7B733D58" w14:textId="77777777" w:rsidR="00EF6E0C" w:rsidRDefault="00EF6E0C" w:rsidP="00D73044">
    <w:pPr>
      <w:pStyle w:val="SMCUnsichtbar"/>
    </w:pPr>
  </w:p>
  <w:p w14:paraId="0F0547F1" w14:textId="77777777" w:rsidR="00EF6E0C" w:rsidRDefault="00EF6E0C" w:rsidP="00D73044">
    <w:pPr>
      <w:pStyle w:val="SMCUnsichtbar"/>
    </w:pPr>
  </w:p>
  <w:p w14:paraId="58A59C7A" w14:textId="77777777" w:rsidR="00EF6E0C" w:rsidRDefault="00EF6E0C" w:rsidP="00D73044">
    <w:pPr>
      <w:pStyle w:val="SMCUnsichtbar"/>
    </w:pPr>
  </w:p>
  <w:p w14:paraId="6470C970" w14:textId="77777777" w:rsidR="00EF6E0C" w:rsidRDefault="00EF6E0C" w:rsidP="00D73044">
    <w:pPr>
      <w:pStyle w:val="SMCUnsichtbar"/>
    </w:pPr>
  </w:p>
  <w:p w14:paraId="55ECB4B6" w14:textId="77777777" w:rsidR="00EF6E0C" w:rsidRDefault="00EF6E0C" w:rsidP="00D73044">
    <w:pPr>
      <w:pStyle w:val="SMCUnsichtbar"/>
    </w:pPr>
  </w:p>
  <w:p w14:paraId="74DDA0F3" w14:textId="77777777" w:rsidR="00EF6E0C" w:rsidRDefault="00EF6E0C" w:rsidP="00D73044">
    <w:pPr>
      <w:pStyle w:val="SMCUnsichtbar"/>
    </w:pPr>
  </w:p>
  <w:p w14:paraId="75748DA0" w14:textId="77777777" w:rsidR="00EF6E0C" w:rsidRDefault="00EF6E0C" w:rsidP="00D73044">
    <w:pPr>
      <w:pStyle w:val="SMCUnsichtbar"/>
    </w:pPr>
  </w:p>
  <w:p w14:paraId="136A1D00" w14:textId="77777777" w:rsidR="00EF6E0C" w:rsidRDefault="00EF6E0C" w:rsidP="00D73044">
    <w:pPr>
      <w:pStyle w:val="SMCUnsichtbar"/>
    </w:pPr>
  </w:p>
  <w:p w14:paraId="68E755CD" w14:textId="77777777" w:rsidR="00EF6E0C" w:rsidRDefault="00EF6E0C" w:rsidP="00D73044">
    <w:pPr>
      <w:pStyle w:val="SMCUnsichtbar"/>
    </w:pPr>
  </w:p>
  <w:p w14:paraId="0DD37A49" w14:textId="77777777" w:rsidR="00EF6E0C" w:rsidRDefault="00EF6E0C" w:rsidP="00D73044">
    <w:pPr>
      <w:pStyle w:val="SMCUnsichtbar"/>
    </w:pPr>
  </w:p>
  <w:p w14:paraId="0506E9B6" w14:textId="77777777" w:rsidR="00EF6E0C" w:rsidRDefault="00EF6E0C" w:rsidP="00D73044">
    <w:pPr>
      <w:pStyle w:val="SMCUnsichtbar"/>
    </w:pPr>
  </w:p>
  <w:p w14:paraId="75409E84" w14:textId="77777777" w:rsidR="00EF6E0C" w:rsidRDefault="00EF6E0C" w:rsidP="00D73044">
    <w:pPr>
      <w:pStyle w:val="SMCUnsichtbar"/>
    </w:pPr>
  </w:p>
  <w:p w14:paraId="4B0E1F05" w14:textId="77777777" w:rsidR="00EF6E0C" w:rsidRDefault="00EF6E0C" w:rsidP="00D73044">
    <w:pPr>
      <w:pStyle w:val="SMCUnsichtbar"/>
    </w:pPr>
  </w:p>
  <w:p w14:paraId="77C8E066" w14:textId="77777777" w:rsidR="00EF6E0C" w:rsidRDefault="00EF6E0C" w:rsidP="00D73044">
    <w:pPr>
      <w:pStyle w:val="SMCUnsichtbar"/>
    </w:pPr>
  </w:p>
  <w:p w14:paraId="7055A43C" w14:textId="77777777" w:rsidR="00EF6E0C" w:rsidRDefault="00EF6E0C"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55C5" w14:textId="77777777" w:rsidR="00F6770B" w:rsidRDefault="00F6770B" w:rsidP="00890E0F">
      <w:pPr>
        <w:spacing w:after="0" w:line="240" w:lineRule="auto"/>
      </w:pPr>
      <w:r>
        <w:separator/>
      </w:r>
    </w:p>
  </w:footnote>
  <w:footnote w:type="continuationSeparator" w:id="0">
    <w:p w14:paraId="5AEE9CFE" w14:textId="77777777" w:rsidR="00F6770B" w:rsidRDefault="00F6770B"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54ED" w14:textId="77777777" w:rsidR="00EF6E0C" w:rsidRDefault="00EF6E0C" w:rsidP="00D9355D">
    <w:pPr>
      <w:pStyle w:val="SMCUnsichtbar"/>
    </w:pPr>
    <w:r>
      <w:rPr>
        <w:noProof/>
        <w:lang w:eastAsia="de-DE"/>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EF6E0C" w14:paraId="2F7C49C0" w14:textId="77777777" w:rsidTr="00163A92">
      <w:trPr>
        <w:trHeight w:hRule="exact" w:val="2336"/>
      </w:trPr>
      <w:tc>
        <w:tcPr>
          <w:tcW w:w="6804" w:type="dxa"/>
        </w:tcPr>
        <w:p w14:paraId="765277D4" w14:textId="77777777" w:rsidR="00EF6E0C" w:rsidRDefault="00EF6E0C" w:rsidP="003D0B72">
          <w:r>
            <w:rPr>
              <w:noProof/>
              <w:lang w:eastAsia="de-DE"/>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EF6E0C" w:rsidRDefault="00EF6E0C" w:rsidP="003D0B72"/>
      </w:tc>
    </w:tr>
  </w:tbl>
  <w:p w14:paraId="4E261155" w14:textId="77777777" w:rsidR="00EF6E0C" w:rsidRDefault="00EF6E0C"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4"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6"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0"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9"/>
  </w:num>
  <w:num w:numId="2">
    <w:abstractNumId w:val="8"/>
  </w:num>
  <w:num w:numId="3">
    <w:abstractNumId w:val="4"/>
  </w:num>
  <w:num w:numId="4">
    <w:abstractNumId w:val="3"/>
  </w:num>
  <w:num w:numId="5">
    <w:abstractNumId w:val="10"/>
  </w:num>
  <w:num w:numId="6">
    <w:abstractNumId w:val="2"/>
  </w:num>
  <w:num w:numId="7">
    <w:abstractNumId w:val="7"/>
  </w:num>
  <w:num w:numId="8">
    <w:abstractNumId w:val="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7955"/>
    <w:rsid w:val="00011BBC"/>
    <w:rsid w:val="00012906"/>
    <w:rsid w:val="00016D5E"/>
    <w:rsid w:val="00017CC0"/>
    <w:rsid w:val="00021733"/>
    <w:rsid w:val="00022553"/>
    <w:rsid w:val="00023DC1"/>
    <w:rsid w:val="00025CDC"/>
    <w:rsid w:val="000270CB"/>
    <w:rsid w:val="0002739F"/>
    <w:rsid w:val="000306CB"/>
    <w:rsid w:val="000347EA"/>
    <w:rsid w:val="00035B75"/>
    <w:rsid w:val="00044A57"/>
    <w:rsid w:val="00046544"/>
    <w:rsid w:val="0004681A"/>
    <w:rsid w:val="00051BA6"/>
    <w:rsid w:val="00054DE9"/>
    <w:rsid w:val="00065106"/>
    <w:rsid w:val="0008171E"/>
    <w:rsid w:val="00083B23"/>
    <w:rsid w:val="00087D09"/>
    <w:rsid w:val="0009431C"/>
    <w:rsid w:val="000A13E2"/>
    <w:rsid w:val="000B2AE8"/>
    <w:rsid w:val="000B3D44"/>
    <w:rsid w:val="000D468A"/>
    <w:rsid w:val="000E15FE"/>
    <w:rsid w:val="000E575B"/>
    <w:rsid w:val="000E5ED7"/>
    <w:rsid w:val="000F548E"/>
    <w:rsid w:val="00100E88"/>
    <w:rsid w:val="00103CFD"/>
    <w:rsid w:val="001040B0"/>
    <w:rsid w:val="00111B51"/>
    <w:rsid w:val="0012471D"/>
    <w:rsid w:val="00124BE3"/>
    <w:rsid w:val="001314AC"/>
    <w:rsid w:val="0013399F"/>
    <w:rsid w:val="00134BE0"/>
    <w:rsid w:val="00163A92"/>
    <w:rsid w:val="00165BCF"/>
    <w:rsid w:val="001736B7"/>
    <w:rsid w:val="00177D4C"/>
    <w:rsid w:val="00187316"/>
    <w:rsid w:val="00194CA9"/>
    <w:rsid w:val="00196AF8"/>
    <w:rsid w:val="001A2082"/>
    <w:rsid w:val="001A33D0"/>
    <w:rsid w:val="001B1BCC"/>
    <w:rsid w:val="001B29DD"/>
    <w:rsid w:val="001B2F11"/>
    <w:rsid w:val="001E03AA"/>
    <w:rsid w:val="001E0601"/>
    <w:rsid w:val="001E0B84"/>
    <w:rsid w:val="001E18EC"/>
    <w:rsid w:val="001E267C"/>
    <w:rsid w:val="001E7242"/>
    <w:rsid w:val="001E74AF"/>
    <w:rsid w:val="0020195C"/>
    <w:rsid w:val="00205983"/>
    <w:rsid w:val="002065F8"/>
    <w:rsid w:val="00207DF5"/>
    <w:rsid w:val="002153A9"/>
    <w:rsid w:val="00217F1B"/>
    <w:rsid w:val="00217F9E"/>
    <w:rsid w:val="002207C2"/>
    <w:rsid w:val="002344C0"/>
    <w:rsid w:val="00237B72"/>
    <w:rsid w:val="0024104B"/>
    <w:rsid w:val="00242DE1"/>
    <w:rsid w:val="00247F04"/>
    <w:rsid w:val="0025507A"/>
    <w:rsid w:val="00275346"/>
    <w:rsid w:val="00282D8F"/>
    <w:rsid w:val="00283151"/>
    <w:rsid w:val="00283D3D"/>
    <w:rsid w:val="00292DFA"/>
    <w:rsid w:val="00295B76"/>
    <w:rsid w:val="002B7593"/>
    <w:rsid w:val="002D0360"/>
    <w:rsid w:val="002D3AF4"/>
    <w:rsid w:val="002D697E"/>
    <w:rsid w:val="002E2DF2"/>
    <w:rsid w:val="002E7814"/>
    <w:rsid w:val="002E7D8C"/>
    <w:rsid w:val="002F1722"/>
    <w:rsid w:val="002F37AA"/>
    <w:rsid w:val="002F5986"/>
    <w:rsid w:val="002F630A"/>
    <w:rsid w:val="00306967"/>
    <w:rsid w:val="003103F4"/>
    <w:rsid w:val="00311A56"/>
    <w:rsid w:val="00314951"/>
    <w:rsid w:val="00315DFB"/>
    <w:rsid w:val="0031630C"/>
    <w:rsid w:val="003169B2"/>
    <w:rsid w:val="00324D23"/>
    <w:rsid w:val="00332947"/>
    <w:rsid w:val="00332BCE"/>
    <w:rsid w:val="00335283"/>
    <w:rsid w:val="003357C4"/>
    <w:rsid w:val="0033697E"/>
    <w:rsid w:val="00337ADD"/>
    <w:rsid w:val="003423D9"/>
    <w:rsid w:val="003454C4"/>
    <w:rsid w:val="00346B0A"/>
    <w:rsid w:val="00347AE9"/>
    <w:rsid w:val="003507F9"/>
    <w:rsid w:val="0035108E"/>
    <w:rsid w:val="003513BB"/>
    <w:rsid w:val="0035275B"/>
    <w:rsid w:val="0035649E"/>
    <w:rsid w:val="00363818"/>
    <w:rsid w:val="00365569"/>
    <w:rsid w:val="003746A3"/>
    <w:rsid w:val="003800FA"/>
    <w:rsid w:val="00381C63"/>
    <w:rsid w:val="003840DC"/>
    <w:rsid w:val="0038726D"/>
    <w:rsid w:val="0039421C"/>
    <w:rsid w:val="003A2267"/>
    <w:rsid w:val="003A2A6B"/>
    <w:rsid w:val="003A51F0"/>
    <w:rsid w:val="003A71B0"/>
    <w:rsid w:val="003B0A61"/>
    <w:rsid w:val="003B12FC"/>
    <w:rsid w:val="003B3D37"/>
    <w:rsid w:val="003B44E7"/>
    <w:rsid w:val="003C5791"/>
    <w:rsid w:val="003C6F84"/>
    <w:rsid w:val="003D0986"/>
    <w:rsid w:val="003D0B72"/>
    <w:rsid w:val="003D17BF"/>
    <w:rsid w:val="003F11A7"/>
    <w:rsid w:val="003F1CA4"/>
    <w:rsid w:val="00401976"/>
    <w:rsid w:val="00407865"/>
    <w:rsid w:val="004174D5"/>
    <w:rsid w:val="004213BA"/>
    <w:rsid w:val="00421E3E"/>
    <w:rsid w:val="004260F2"/>
    <w:rsid w:val="00427A2B"/>
    <w:rsid w:val="00431465"/>
    <w:rsid w:val="00436AA5"/>
    <w:rsid w:val="00443A44"/>
    <w:rsid w:val="00443DC2"/>
    <w:rsid w:val="00445B65"/>
    <w:rsid w:val="004460E0"/>
    <w:rsid w:val="0044679F"/>
    <w:rsid w:val="00447DE5"/>
    <w:rsid w:val="00452C85"/>
    <w:rsid w:val="00454B3E"/>
    <w:rsid w:val="00455576"/>
    <w:rsid w:val="00462701"/>
    <w:rsid w:val="00480981"/>
    <w:rsid w:val="004816A4"/>
    <w:rsid w:val="00482D98"/>
    <w:rsid w:val="00484FB5"/>
    <w:rsid w:val="004874CB"/>
    <w:rsid w:val="004920D5"/>
    <w:rsid w:val="004A4F56"/>
    <w:rsid w:val="004A53C3"/>
    <w:rsid w:val="004B2D90"/>
    <w:rsid w:val="004B7BD7"/>
    <w:rsid w:val="004C081E"/>
    <w:rsid w:val="004C5492"/>
    <w:rsid w:val="004C702A"/>
    <w:rsid w:val="004D35BF"/>
    <w:rsid w:val="004F2792"/>
    <w:rsid w:val="005022A3"/>
    <w:rsid w:val="0051500A"/>
    <w:rsid w:val="005164B5"/>
    <w:rsid w:val="0051711E"/>
    <w:rsid w:val="00521F23"/>
    <w:rsid w:val="00523569"/>
    <w:rsid w:val="005250A6"/>
    <w:rsid w:val="00525BDC"/>
    <w:rsid w:val="00525FD7"/>
    <w:rsid w:val="00534D83"/>
    <w:rsid w:val="00535FD5"/>
    <w:rsid w:val="005451B9"/>
    <w:rsid w:val="00554C1C"/>
    <w:rsid w:val="00556CC2"/>
    <w:rsid w:val="00562273"/>
    <w:rsid w:val="0056287B"/>
    <w:rsid w:val="00565FE4"/>
    <w:rsid w:val="00580302"/>
    <w:rsid w:val="00582FE0"/>
    <w:rsid w:val="00583A83"/>
    <w:rsid w:val="005909D5"/>
    <w:rsid w:val="00594004"/>
    <w:rsid w:val="005A2FCF"/>
    <w:rsid w:val="005A5DEE"/>
    <w:rsid w:val="005A62EC"/>
    <w:rsid w:val="005A6378"/>
    <w:rsid w:val="005B2D02"/>
    <w:rsid w:val="005C39C9"/>
    <w:rsid w:val="005C615B"/>
    <w:rsid w:val="005C75AC"/>
    <w:rsid w:val="005C7C62"/>
    <w:rsid w:val="005D28D1"/>
    <w:rsid w:val="005D4216"/>
    <w:rsid w:val="005D4CE3"/>
    <w:rsid w:val="005D58E1"/>
    <w:rsid w:val="005D637D"/>
    <w:rsid w:val="005E052A"/>
    <w:rsid w:val="005E0A21"/>
    <w:rsid w:val="005E4519"/>
    <w:rsid w:val="005E766F"/>
    <w:rsid w:val="005F0A29"/>
    <w:rsid w:val="005F42A0"/>
    <w:rsid w:val="0060106E"/>
    <w:rsid w:val="0060298B"/>
    <w:rsid w:val="00617EA1"/>
    <w:rsid w:val="0062542D"/>
    <w:rsid w:val="0062568F"/>
    <w:rsid w:val="00631C0B"/>
    <w:rsid w:val="006320A8"/>
    <w:rsid w:val="006402A8"/>
    <w:rsid w:val="00642185"/>
    <w:rsid w:val="006467D3"/>
    <w:rsid w:val="006478C3"/>
    <w:rsid w:val="0065112F"/>
    <w:rsid w:val="00656A21"/>
    <w:rsid w:val="00670128"/>
    <w:rsid w:val="00673E2F"/>
    <w:rsid w:val="006740B6"/>
    <w:rsid w:val="00685F71"/>
    <w:rsid w:val="006A1AC7"/>
    <w:rsid w:val="006A2E4D"/>
    <w:rsid w:val="006B0BA6"/>
    <w:rsid w:val="006B1808"/>
    <w:rsid w:val="006B5EF5"/>
    <w:rsid w:val="006C2736"/>
    <w:rsid w:val="006D087F"/>
    <w:rsid w:val="006D13A9"/>
    <w:rsid w:val="006E343E"/>
    <w:rsid w:val="006F0F2F"/>
    <w:rsid w:val="006F7BE4"/>
    <w:rsid w:val="00701848"/>
    <w:rsid w:val="007036F8"/>
    <w:rsid w:val="00707607"/>
    <w:rsid w:val="00720093"/>
    <w:rsid w:val="007259BE"/>
    <w:rsid w:val="00730F90"/>
    <w:rsid w:val="00736D98"/>
    <w:rsid w:val="00737A2E"/>
    <w:rsid w:val="00737BAD"/>
    <w:rsid w:val="00746A7E"/>
    <w:rsid w:val="00753310"/>
    <w:rsid w:val="007544FE"/>
    <w:rsid w:val="007550B0"/>
    <w:rsid w:val="007579C8"/>
    <w:rsid w:val="0076111C"/>
    <w:rsid w:val="007614AD"/>
    <w:rsid w:val="00762580"/>
    <w:rsid w:val="00782998"/>
    <w:rsid w:val="00784052"/>
    <w:rsid w:val="00791414"/>
    <w:rsid w:val="007939F2"/>
    <w:rsid w:val="007A06D2"/>
    <w:rsid w:val="007A1C8E"/>
    <w:rsid w:val="007B0D4C"/>
    <w:rsid w:val="007B3FED"/>
    <w:rsid w:val="007B7E00"/>
    <w:rsid w:val="007C4BA0"/>
    <w:rsid w:val="007D0DEF"/>
    <w:rsid w:val="007D183E"/>
    <w:rsid w:val="007D1A9B"/>
    <w:rsid w:val="007D57F9"/>
    <w:rsid w:val="007D69DE"/>
    <w:rsid w:val="007E5184"/>
    <w:rsid w:val="007F2760"/>
    <w:rsid w:val="00801DBC"/>
    <w:rsid w:val="008030BC"/>
    <w:rsid w:val="008074E9"/>
    <w:rsid w:val="00830282"/>
    <w:rsid w:val="00833B7B"/>
    <w:rsid w:val="008519BF"/>
    <w:rsid w:val="008657C5"/>
    <w:rsid w:val="00874981"/>
    <w:rsid w:val="00882186"/>
    <w:rsid w:val="00890E0F"/>
    <w:rsid w:val="008B07C0"/>
    <w:rsid w:val="008B44F7"/>
    <w:rsid w:val="008B48B4"/>
    <w:rsid w:val="008B4EC1"/>
    <w:rsid w:val="008B6CAB"/>
    <w:rsid w:val="008B7A8D"/>
    <w:rsid w:val="008C2C2E"/>
    <w:rsid w:val="008C3130"/>
    <w:rsid w:val="008C5B41"/>
    <w:rsid w:val="008C6C86"/>
    <w:rsid w:val="008D659E"/>
    <w:rsid w:val="008E23C7"/>
    <w:rsid w:val="008E66E9"/>
    <w:rsid w:val="008F4941"/>
    <w:rsid w:val="008F6D11"/>
    <w:rsid w:val="008F7B9F"/>
    <w:rsid w:val="00900344"/>
    <w:rsid w:val="00900451"/>
    <w:rsid w:val="00901934"/>
    <w:rsid w:val="00905299"/>
    <w:rsid w:val="00906AD8"/>
    <w:rsid w:val="00912C2A"/>
    <w:rsid w:val="009158DC"/>
    <w:rsid w:val="00917997"/>
    <w:rsid w:val="009256C0"/>
    <w:rsid w:val="0093478C"/>
    <w:rsid w:val="009372FD"/>
    <w:rsid w:val="0093768F"/>
    <w:rsid w:val="0094508D"/>
    <w:rsid w:val="009451BD"/>
    <w:rsid w:val="00946427"/>
    <w:rsid w:val="00955921"/>
    <w:rsid w:val="009611C6"/>
    <w:rsid w:val="00963655"/>
    <w:rsid w:val="009638E6"/>
    <w:rsid w:val="009653D3"/>
    <w:rsid w:val="00966A6A"/>
    <w:rsid w:val="009733EE"/>
    <w:rsid w:val="00981968"/>
    <w:rsid w:val="009956CB"/>
    <w:rsid w:val="00995B3D"/>
    <w:rsid w:val="00996393"/>
    <w:rsid w:val="00996CD7"/>
    <w:rsid w:val="0099787E"/>
    <w:rsid w:val="009979E8"/>
    <w:rsid w:val="009A2164"/>
    <w:rsid w:val="009B0D2F"/>
    <w:rsid w:val="009B2E71"/>
    <w:rsid w:val="009B42B1"/>
    <w:rsid w:val="009D4369"/>
    <w:rsid w:val="009D4717"/>
    <w:rsid w:val="009E4E08"/>
    <w:rsid w:val="009E5258"/>
    <w:rsid w:val="009E5332"/>
    <w:rsid w:val="009F28DD"/>
    <w:rsid w:val="009F4F55"/>
    <w:rsid w:val="009F538D"/>
    <w:rsid w:val="00A05FD1"/>
    <w:rsid w:val="00A07EC4"/>
    <w:rsid w:val="00A162CE"/>
    <w:rsid w:val="00A24424"/>
    <w:rsid w:val="00A262A6"/>
    <w:rsid w:val="00A27E21"/>
    <w:rsid w:val="00A310F1"/>
    <w:rsid w:val="00A35F20"/>
    <w:rsid w:val="00A3743F"/>
    <w:rsid w:val="00A443F8"/>
    <w:rsid w:val="00A45741"/>
    <w:rsid w:val="00A50055"/>
    <w:rsid w:val="00A55EE8"/>
    <w:rsid w:val="00A648CB"/>
    <w:rsid w:val="00A73BC4"/>
    <w:rsid w:val="00A753E3"/>
    <w:rsid w:val="00A9372B"/>
    <w:rsid w:val="00A941D2"/>
    <w:rsid w:val="00A949C9"/>
    <w:rsid w:val="00AA6891"/>
    <w:rsid w:val="00AB27D3"/>
    <w:rsid w:val="00AC3E0F"/>
    <w:rsid w:val="00AC4120"/>
    <w:rsid w:val="00AC4609"/>
    <w:rsid w:val="00AD0078"/>
    <w:rsid w:val="00AD0380"/>
    <w:rsid w:val="00AD047F"/>
    <w:rsid w:val="00AD26F9"/>
    <w:rsid w:val="00AD6734"/>
    <w:rsid w:val="00AE7A8E"/>
    <w:rsid w:val="00B05996"/>
    <w:rsid w:val="00B12A7B"/>
    <w:rsid w:val="00B32320"/>
    <w:rsid w:val="00B32BF5"/>
    <w:rsid w:val="00B33694"/>
    <w:rsid w:val="00B35CCF"/>
    <w:rsid w:val="00B425FC"/>
    <w:rsid w:val="00B42C04"/>
    <w:rsid w:val="00B53C9D"/>
    <w:rsid w:val="00B567E7"/>
    <w:rsid w:val="00B56BC2"/>
    <w:rsid w:val="00B56F89"/>
    <w:rsid w:val="00B573A6"/>
    <w:rsid w:val="00B64ABF"/>
    <w:rsid w:val="00B66E96"/>
    <w:rsid w:val="00B82494"/>
    <w:rsid w:val="00B922AB"/>
    <w:rsid w:val="00BB1FF9"/>
    <w:rsid w:val="00BB6AF3"/>
    <w:rsid w:val="00BC28E1"/>
    <w:rsid w:val="00BD1C3F"/>
    <w:rsid w:val="00BD3492"/>
    <w:rsid w:val="00BE041F"/>
    <w:rsid w:val="00BE0BB1"/>
    <w:rsid w:val="00BE6B50"/>
    <w:rsid w:val="00BF5E41"/>
    <w:rsid w:val="00BF721E"/>
    <w:rsid w:val="00C008B1"/>
    <w:rsid w:val="00C01362"/>
    <w:rsid w:val="00C10077"/>
    <w:rsid w:val="00C21FCD"/>
    <w:rsid w:val="00C2407B"/>
    <w:rsid w:val="00C31C59"/>
    <w:rsid w:val="00C334D9"/>
    <w:rsid w:val="00C3565A"/>
    <w:rsid w:val="00C400A9"/>
    <w:rsid w:val="00C4144D"/>
    <w:rsid w:val="00C428EB"/>
    <w:rsid w:val="00C5379F"/>
    <w:rsid w:val="00C55D5D"/>
    <w:rsid w:val="00C7108D"/>
    <w:rsid w:val="00C866A8"/>
    <w:rsid w:val="00C9397B"/>
    <w:rsid w:val="00C93E7C"/>
    <w:rsid w:val="00CA372B"/>
    <w:rsid w:val="00CA39EB"/>
    <w:rsid w:val="00CA48CA"/>
    <w:rsid w:val="00CA54F4"/>
    <w:rsid w:val="00CB0DD7"/>
    <w:rsid w:val="00CB1720"/>
    <w:rsid w:val="00CB624B"/>
    <w:rsid w:val="00CB6BCC"/>
    <w:rsid w:val="00CC2B85"/>
    <w:rsid w:val="00CC442C"/>
    <w:rsid w:val="00CC62A5"/>
    <w:rsid w:val="00CC79B6"/>
    <w:rsid w:val="00CD24F2"/>
    <w:rsid w:val="00CD4541"/>
    <w:rsid w:val="00CD65EF"/>
    <w:rsid w:val="00CE3159"/>
    <w:rsid w:val="00CE3C59"/>
    <w:rsid w:val="00CF06D8"/>
    <w:rsid w:val="00CF767D"/>
    <w:rsid w:val="00D03BBC"/>
    <w:rsid w:val="00D046D1"/>
    <w:rsid w:val="00D10131"/>
    <w:rsid w:val="00D11D92"/>
    <w:rsid w:val="00D15E9D"/>
    <w:rsid w:val="00D1604C"/>
    <w:rsid w:val="00D26313"/>
    <w:rsid w:val="00D31A52"/>
    <w:rsid w:val="00D46EF0"/>
    <w:rsid w:val="00D53BE5"/>
    <w:rsid w:val="00D53BF9"/>
    <w:rsid w:val="00D60A0F"/>
    <w:rsid w:val="00D61E0A"/>
    <w:rsid w:val="00D64F34"/>
    <w:rsid w:val="00D73044"/>
    <w:rsid w:val="00D84B17"/>
    <w:rsid w:val="00D85DFB"/>
    <w:rsid w:val="00D86A81"/>
    <w:rsid w:val="00D9355D"/>
    <w:rsid w:val="00DA0E01"/>
    <w:rsid w:val="00DA34CA"/>
    <w:rsid w:val="00DB037B"/>
    <w:rsid w:val="00DB717E"/>
    <w:rsid w:val="00DD2C89"/>
    <w:rsid w:val="00DD5A47"/>
    <w:rsid w:val="00DE3320"/>
    <w:rsid w:val="00DE563C"/>
    <w:rsid w:val="00DE7045"/>
    <w:rsid w:val="00DF09FB"/>
    <w:rsid w:val="00DF25CC"/>
    <w:rsid w:val="00DF2C47"/>
    <w:rsid w:val="00DF3DFB"/>
    <w:rsid w:val="00DF607A"/>
    <w:rsid w:val="00E108EF"/>
    <w:rsid w:val="00E11535"/>
    <w:rsid w:val="00E145F6"/>
    <w:rsid w:val="00E22127"/>
    <w:rsid w:val="00E2297A"/>
    <w:rsid w:val="00E24FA4"/>
    <w:rsid w:val="00E3227D"/>
    <w:rsid w:val="00E36930"/>
    <w:rsid w:val="00E4788A"/>
    <w:rsid w:val="00E57D3A"/>
    <w:rsid w:val="00E60BEA"/>
    <w:rsid w:val="00E6768C"/>
    <w:rsid w:val="00E7411C"/>
    <w:rsid w:val="00E7412E"/>
    <w:rsid w:val="00E76D2B"/>
    <w:rsid w:val="00E810E1"/>
    <w:rsid w:val="00E84B40"/>
    <w:rsid w:val="00E854FF"/>
    <w:rsid w:val="00EA09D5"/>
    <w:rsid w:val="00EA1BDB"/>
    <w:rsid w:val="00EA49CF"/>
    <w:rsid w:val="00EC1D0F"/>
    <w:rsid w:val="00EC23DA"/>
    <w:rsid w:val="00EC3945"/>
    <w:rsid w:val="00EC4D58"/>
    <w:rsid w:val="00ED7FCD"/>
    <w:rsid w:val="00EE10AB"/>
    <w:rsid w:val="00EE43C9"/>
    <w:rsid w:val="00EE59A5"/>
    <w:rsid w:val="00EE5E88"/>
    <w:rsid w:val="00EE64A3"/>
    <w:rsid w:val="00EF1852"/>
    <w:rsid w:val="00EF272A"/>
    <w:rsid w:val="00EF5D93"/>
    <w:rsid w:val="00EF6E0C"/>
    <w:rsid w:val="00F029B1"/>
    <w:rsid w:val="00F05FEF"/>
    <w:rsid w:val="00F10BB5"/>
    <w:rsid w:val="00F14EDE"/>
    <w:rsid w:val="00F23D56"/>
    <w:rsid w:val="00F37745"/>
    <w:rsid w:val="00F430FE"/>
    <w:rsid w:val="00F43E53"/>
    <w:rsid w:val="00F44753"/>
    <w:rsid w:val="00F5254A"/>
    <w:rsid w:val="00F52CE2"/>
    <w:rsid w:val="00F648D4"/>
    <w:rsid w:val="00F6770B"/>
    <w:rsid w:val="00F6791B"/>
    <w:rsid w:val="00F7322B"/>
    <w:rsid w:val="00F762B5"/>
    <w:rsid w:val="00F76614"/>
    <w:rsid w:val="00F805CC"/>
    <w:rsid w:val="00F82B56"/>
    <w:rsid w:val="00F84434"/>
    <w:rsid w:val="00F85CDE"/>
    <w:rsid w:val="00FA0FF6"/>
    <w:rsid w:val="00FA2A81"/>
    <w:rsid w:val="00FC6648"/>
    <w:rsid w:val="00FF0733"/>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3F054D"/>
  <w15:docId w15:val="{AB137459-F043-4ED3-A3F5-BCCF3D44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9B51-CBF4-45F4-828D-5BFD3754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lastModifiedBy>Susanne Weber</cp:lastModifiedBy>
  <cp:revision>2</cp:revision>
  <cp:lastPrinted>2019-10-23T14:00:00Z</cp:lastPrinted>
  <dcterms:created xsi:type="dcterms:W3CDTF">2019-10-30T08:27:00Z</dcterms:created>
  <dcterms:modified xsi:type="dcterms:W3CDTF">2019-10-30T08:27:00Z</dcterms:modified>
</cp:coreProperties>
</file>